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FAFA" w14:textId="3B4E7698" w:rsidR="00A55ABF" w:rsidRPr="003B33FD" w:rsidRDefault="00A55ABF" w:rsidP="00C11734">
      <w:pPr>
        <w:pStyle w:val="Textocomentario1"/>
        <w:ind w:left="708" w:hanging="708"/>
        <w:rPr>
          <w:rFonts w:ascii="Verdana" w:hAnsi="Verdana" w:cs="Arial"/>
          <w:sz w:val="22"/>
          <w:szCs w:val="22"/>
        </w:rPr>
      </w:pPr>
      <w:r w:rsidRPr="003B33FD">
        <w:rPr>
          <w:rFonts w:ascii="Verdana" w:hAnsi="Verdana" w:cs="Arial"/>
          <w:sz w:val="22"/>
          <w:szCs w:val="22"/>
        </w:rPr>
        <w:t>Bogotá, D.C.</w:t>
      </w:r>
    </w:p>
    <w:p w14:paraId="62902DE6" w14:textId="77777777" w:rsidR="00A55ABF" w:rsidRPr="003B33FD" w:rsidRDefault="00A55ABF" w:rsidP="00A55ABF">
      <w:pPr>
        <w:pStyle w:val="Textocomentario1"/>
        <w:rPr>
          <w:rFonts w:ascii="Verdana" w:hAnsi="Verdana" w:cs="Arial"/>
          <w:sz w:val="22"/>
          <w:szCs w:val="22"/>
        </w:rPr>
      </w:pPr>
    </w:p>
    <w:p w14:paraId="5AB47C05" w14:textId="77777777" w:rsidR="004D3BF3" w:rsidRPr="003B33FD" w:rsidRDefault="004D3BF3" w:rsidP="004D3BF3">
      <w:pPr>
        <w:pStyle w:val="Textocomentario1"/>
        <w:contextualSpacing/>
        <w:rPr>
          <w:rFonts w:ascii="Verdana" w:hAnsi="Verdana" w:cs="Arial"/>
          <w:sz w:val="22"/>
          <w:szCs w:val="22"/>
        </w:rPr>
      </w:pPr>
    </w:p>
    <w:p w14:paraId="2B542CD0" w14:textId="1B6B7AA9" w:rsidR="004D3BF3" w:rsidRPr="003B33FD" w:rsidRDefault="004D3BF3" w:rsidP="004D3BF3">
      <w:pPr>
        <w:contextualSpacing/>
        <w:jc w:val="both"/>
        <w:rPr>
          <w:rFonts w:ascii="Verdana" w:hAnsi="Verdana" w:cs="Arial"/>
        </w:rPr>
      </w:pPr>
      <w:r w:rsidRPr="003B33FD">
        <w:rPr>
          <w:rFonts w:ascii="Verdana" w:hAnsi="Verdana" w:cs="Arial"/>
        </w:rPr>
        <w:t>Señor</w:t>
      </w:r>
      <w:r w:rsidR="0062083E" w:rsidRPr="003B33FD">
        <w:rPr>
          <w:rFonts w:ascii="Verdana" w:hAnsi="Verdana" w:cs="Arial"/>
        </w:rPr>
        <w:t>es</w:t>
      </w:r>
    </w:p>
    <w:p w14:paraId="06BB4DA2" w14:textId="7E464472" w:rsidR="0062083E" w:rsidRPr="003B33FD" w:rsidRDefault="001C672D" w:rsidP="004D3BF3">
      <w:pPr>
        <w:jc w:val="both"/>
        <w:rPr>
          <w:rFonts w:ascii="Verdana" w:hAnsi="Verdana" w:cs="Arial"/>
          <w:b/>
          <w:bCs/>
        </w:rPr>
      </w:pPr>
      <w:r w:rsidRPr="003B33FD">
        <w:rPr>
          <w:rFonts w:ascii="Verdana" w:hAnsi="Verdana" w:cs="Arial"/>
          <w:b/>
          <w:bCs/>
        </w:rPr>
        <w:t>EMPRESAS PÚBLICAS DE MEDELLÍN E.S.P.</w:t>
      </w:r>
    </w:p>
    <w:p w14:paraId="098F2C3E" w14:textId="268FDE09" w:rsidR="00682DCA" w:rsidRPr="003B33FD" w:rsidRDefault="0062083E" w:rsidP="004D3BF3">
      <w:pPr>
        <w:jc w:val="both"/>
        <w:rPr>
          <w:rFonts w:ascii="Verdana" w:hAnsi="Verdana" w:cs="Arial"/>
          <w:bCs/>
          <w:lang w:val="es-CO"/>
        </w:rPr>
      </w:pPr>
      <w:r w:rsidRPr="003B33FD">
        <w:rPr>
          <w:rFonts w:ascii="Verdana" w:hAnsi="Verdana" w:cs="Arial"/>
          <w:bCs/>
          <w:lang w:val="es-CO"/>
        </w:rPr>
        <w:t>Señor</w:t>
      </w:r>
      <w:r w:rsidR="00396997" w:rsidRPr="003B33FD">
        <w:rPr>
          <w:rFonts w:ascii="Verdana" w:hAnsi="Verdana" w:cs="Arial"/>
          <w:bCs/>
          <w:lang w:val="es-CO"/>
        </w:rPr>
        <w:t>a</w:t>
      </w:r>
    </w:p>
    <w:p w14:paraId="17B73948" w14:textId="1615A20C" w:rsidR="0062083E" w:rsidRPr="003B33FD" w:rsidRDefault="00396997" w:rsidP="004D3BF3">
      <w:pPr>
        <w:jc w:val="both"/>
        <w:rPr>
          <w:rFonts w:ascii="Verdana" w:hAnsi="Verdana" w:cs="Arial"/>
          <w:bCs/>
          <w:lang w:val="es-CO"/>
        </w:rPr>
      </w:pPr>
      <w:r w:rsidRPr="003B33FD">
        <w:rPr>
          <w:rFonts w:ascii="Verdana" w:hAnsi="Verdana" w:cs="Arial"/>
          <w:bCs/>
          <w:lang w:val="es-CO"/>
        </w:rPr>
        <w:t>D</w:t>
      </w:r>
      <w:r w:rsidR="0083540B" w:rsidRPr="003B33FD">
        <w:rPr>
          <w:rFonts w:ascii="Verdana" w:hAnsi="Verdana" w:cs="Arial"/>
          <w:bCs/>
          <w:lang w:val="es-CO"/>
        </w:rPr>
        <w:t xml:space="preserve">iana Catalina </w:t>
      </w:r>
      <w:r w:rsidR="00BC5F61" w:rsidRPr="003B33FD">
        <w:rPr>
          <w:rFonts w:ascii="Verdana" w:hAnsi="Verdana" w:cs="Arial"/>
          <w:bCs/>
          <w:lang w:val="es-CO"/>
        </w:rPr>
        <w:t xml:space="preserve">Gutiérrez Chaverra </w:t>
      </w:r>
    </w:p>
    <w:p w14:paraId="626BF57F" w14:textId="4383B0BF" w:rsidR="003B2686" w:rsidRPr="003B33FD" w:rsidRDefault="00BC5F61" w:rsidP="0062083E">
      <w:pPr>
        <w:jc w:val="both"/>
        <w:rPr>
          <w:rFonts w:ascii="Verdana" w:hAnsi="Verdana" w:cs="Arial"/>
          <w:bCs/>
          <w:lang w:val="es-CO"/>
        </w:rPr>
      </w:pPr>
      <w:r w:rsidRPr="003B33FD">
        <w:rPr>
          <w:rFonts w:ascii="Verdana" w:hAnsi="Verdana" w:cs="Arial"/>
          <w:bCs/>
          <w:lang w:val="es-CO"/>
        </w:rPr>
        <w:t>Directora Corporativa</w:t>
      </w:r>
      <w:r w:rsidR="00107D0B" w:rsidRPr="003B33FD">
        <w:rPr>
          <w:rFonts w:ascii="Verdana" w:hAnsi="Verdana" w:cs="Arial"/>
          <w:bCs/>
          <w:lang w:val="es-CO"/>
        </w:rPr>
        <w:t xml:space="preserve"> </w:t>
      </w:r>
      <w:r w:rsidR="00046010" w:rsidRPr="003B33FD">
        <w:rPr>
          <w:rFonts w:ascii="Verdana" w:hAnsi="Verdana" w:cs="Arial"/>
          <w:bCs/>
          <w:lang w:val="es-CO"/>
        </w:rPr>
        <w:t>Regulación</w:t>
      </w:r>
      <w:r w:rsidR="00107D0B" w:rsidRPr="003B33FD">
        <w:rPr>
          <w:rFonts w:ascii="Verdana" w:hAnsi="Verdana" w:cs="Arial"/>
          <w:bCs/>
          <w:lang w:val="es-CO"/>
        </w:rPr>
        <w:t xml:space="preserve"> de Agua y Saneamiento</w:t>
      </w:r>
    </w:p>
    <w:p w14:paraId="634931F5" w14:textId="77777777" w:rsidR="00887300" w:rsidRPr="003B33FD" w:rsidRDefault="00887300" w:rsidP="00887300">
      <w:pPr>
        <w:jc w:val="both"/>
        <w:rPr>
          <w:rFonts w:ascii="Verdana" w:hAnsi="Verdana" w:cs="Arial"/>
          <w:lang w:val="pt-PT"/>
        </w:rPr>
      </w:pPr>
      <w:r w:rsidRPr="003B33FD">
        <w:rPr>
          <w:rFonts w:ascii="Verdana" w:hAnsi="Verdana" w:cs="Arial"/>
          <w:lang w:val="pt-PT"/>
        </w:rPr>
        <w:t xml:space="preserve">Carrera 58 No. 42-125 </w:t>
      </w:r>
    </w:p>
    <w:p w14:paraId="3EAF39CD" w14:textId="2D37AD8C" w:rsidR="00887300" w:rsidRPr="003B33FD" w:rsidRDefault="008B5097" w:rsidP="008B5097">
      <w:pPr>
        <w:rPr>
          <w:rStyle w:val="Hipervnculo"/>
          <w:rFonts w:ascii="Verdana" w:hAnsi="Verdana" w:cs="Arial"/>
          <w:color w:val="auto"/>
          <w:u w:val="none"/>
          <w:lang w:val="pt-PT"/>
        </w:rPr>
      </w:pPr>
      <w:hyperlink r:id="rId11" w:history="1">
        <w:r w:rsidRPr="003B33FD">
          <w:rPr>
            <w:rStyle w:val="Hipervnculo"/>
            <w:rFonts w:ascii="Verdana" w:hAnsi="Verdana" w:cs="Arial"/>
            <w:color w:val="auto"/>
            <w:u w:val="none"/>
            <w:lang w:val="pt-PT"/>
          </w:rPr>
          <w:t>epm@epm.com.co</w:t>
        </w:r>
      </w:hyperlink>
      <w:r w:rsidR="00510089" w:rsidRPr="003B33FD">
        <w:rPr>
          <w:rFonts w:ascii="Verdana" w:hAnsi="Verdana" w:cs="Arial"/>
          <w:lang w:val="pt-PT"/>
        </w:rPr>
        <w:t>;</w:t>
      </w:r>
      <w:r w:rsidRPr="003B33FD">
        <w:rPr>
          <w:rFonts w:ascii="Verdana" w:hAnsi="Verdana" w:cs="Arial"/>
          <w:lang w:val="pt-PT"/>
        </w:rPr>
        <w:t xml:space="preserve"> </w:t>
      </w:r>
      <w:hyperlink r:id="rId12" w:history="1">
        <w:r w:rsidRPr="003B33FD">
          <w:rPr>
            <w:rStyle w:val="Hipervnculo"/>
            <w:rFonts w:ascii="Verdana" w:hAnsi="Verdana" w:cs="Arial"/>
            <w:color w:val="auto"/>
            <w:u w:val="none"/>
            <w:lang w:val="pt-PT"/>
          </w:rPr>
          <w:t>alejandro.cardona.valencia@epm.com.co</w:t>
        </w:r>
      </w:hyperlink>
    </w:p>
    <w:p w14:paraId="57468A54" w14:textId="7B4DC350" w:rsidR="00A55ABF" w:rsidRPr="003B33FD" w:rsidRDefault="00107D0B" w:rsidP="004D3BF3">
      <w:pPr>
        <w:jc w:val="both"/>
        <w:rPr>
          <w:rFonts w:ascii="Verdana" w:hAnsi="Verdana" w:cs="Arial"/>
          <w:lang w:val="pt-PT"/>
        </w:rPr>
      </w:pPr>
      <w:r w:rsidRPr="003B33FD">
        <w:rPr>
          <w:rFonts w:ascii="Verdana" w:hAnsi="Verdana" w:cs="Arial"/>
          <w:lang w:val="pt-PT"/>
        </w:rPr>
        <w:t>Medell</w:t>
      </w:r>
      <w:r w:rsidR="00046010" w:rsidRPr="003B33FD">
        <w:rPr>
          <w:rFonts w:ascii="Verdana" w:hAnsi="Verdana" w:cs="Arial"/>
          <w:lang w:val="pt-PT"/>
        </w:rPr>
        <w:t>í</w:t>
      </w:r>
      <w:r w:rsidRPr="003B33FD">
        <w:rPr>
          <w:rFonts w:ascii="Verdana" w:hAnsi="Verdana" w:cs="Arial"/>
          <w:lang w:val="pt-PT"/>
        </w:rPr>
        <w:t>n</w:t>
      </w:r>
      <w:r w:rsidR="003B2686" w:rsidRPr="003B33FD">
        <w:rPr>
          <w:rFonts w:ascii="Verdana" w:hAnsi="Verdana" w:cs="Arial"/>
          <w:lang w:val="pt-PT"/>
        </w:rPr>
        <w:t xml:space="preserve">, </w:t>
      </w:r>
      <w:r w:rsidRPr="003B33FD">
        <w:rPr>
          <w:rFonts w:ascii="Verdana" w:hAnsi="Verdana" w:cs="Arial"/>
          <w:lang w:val="pt-PT"/>
        </w:rPr>
        <w:t>Antioquia</w:t>
      </w:r>
    </w:p>
    <w:p w14:paraId="4E0AF2E3" w14:textId="77777777" w:rsidR="00A55ABF" w:rsidRPr="003B33FD" w:rsidRDefault="00A55ABF" w:rsidP="00A55ABF">
      <w:pPr>
        <w:jc w:val="both"/>
        <w:rPr>
          <w:rFonts w:ascii="Verdana" w:hAnsi="Verdana" w:cs="Arial"/>
          <w:lang w:val="pt-PT"/>
        </w:rPr>
      </w:pPr>
    </w:p>
    <w:p w14:paraId="770FDD03" w14:textId="7469C16B" w:rsidR="004326B8" w:rsidRPr="003B33FD" w:rsidRDefault="00A55ABF" w:rsidP="004D4BA5">
      <w:pPr>
        <w:jc w:val="both"/>
        <w:rPr>
          <w:rFonts w:ascii="Verdana" w:hAnsi="Verdana" w:cs="Arial"/>
        </w:rPr>
      </w:pPr>
      <w:r w:rsidRPr="003B33FD">
        <w:rPr>
          <w:rFonts w:ascii="Verdana" w:hAnsi="Verdana" w:cs="Arial"/>
        </w:rPr>
        <w:t xml:space="preserve">Asunto: </w:t>
      </w:r>
      <w:r w:rsidR="004326B8" w:rsidRPr="003B33FD">
        <w:rPr>
          <w:rFonts w:ascii="Verdana" w:hAnsi="Verdana" w:cs="Arial"/>
        </w:rPr>
        <w:t>Radicado</w:t>
      </w:r>
      <w:r w:rsidR="000662B8" w:rsidRPr="003B33FD">
        <w:rPr>
          <w:rFonts w:ascii="Verdana" w:hAnsi="Verdana" w:cs="Arial"/>
        </w:rPr>
        <w:t>s</w:t>
      </w:r>
      <w:r w:rsidR="004326B8" w:rsidRPr="003B33FD">
        <w:rPr>
          <w:rFonts w:ascii="Verdana" w:hAnsi="Verdana" w:cs="Arial"/>
        </w:rPr>
        <w:t xml:space="preserve"> CRA</w:t>
      </w:r>
      <w:r w:rsidR="000662B8" w:rsidRPr="003B33FD">
        <w:rPr>
          <w:rFonts w:ascii="Verdana" w:hAnsi="Verdana" w:cs="Arial"/>
        </w:rPr>
        <w:t xml:space="preserve"> 2026</w:t>
      </w:r>
      <w:r w:rsidR="00905034" w:rsidRPr="003B33FD">
        <w:rPr>
          <w:rFonts w:ascii="Verdana" w:hAnsi="Verdana" w:cs="Arial"/>
        </w:rPr>
        <w:t>-</w:t>
      </w:r>
      <w:r w:rsidR="000662B8" w:rsidRPr="003B33FD">
        <w:rPr>
          <w:rFonts w:ascii="Verdana" w:hAnsi="Verdana" w:cs="Arial"/>
        </w:rPr>
        <w:t>321</w:t>
      </w:r>
      <w:r w:rsidR="00905034" w:rsidRPr="003B33FD">
        <w:rPr>
          <w:rFonts w:ascii="Verdana" w:hAnsi="Verdana" w:cs="Arial"/>
        </w:rPr>
        <w:t>-</w:t>
      </w:r>
      <w:r w:rsidR="000662B8" w:rsidRPr="003B33FD">
        <w:rPr>
          <w:rFonts w:ascii="Verdana" w:hAnsi="Verdana" w:cs="Arial"/>
        </w:rPr>
        <w:t>007915</w:t>
      </w:r>
      <w:r w:rsidR="00905034" w:rsidRPr="003B33FD">
        <w:rPr>
          <w:rFonts w:ascii="Verdana" w:hAnsi="Verdana" w:cs="Arial"/>
        </w:rPr>
        <w:t>-</w:t>
      </w:r>
      <w:r w:rsidR="000662B8" w:rsidRPr="003B33FD">
        <w:rPr>
          <w:rFonts w:ascii="Verdana" w:hAnsi="Verdana" w:cs="Arial"/>
        </w:rPr>
        <w:t>2</w:t>
      </w:r>
      <w:r w:rsidR="00DF06D9" w:rsidRPr="003B33FD">
        <w:rPr>
          <w:rFonts w:ascii="Verdana" w:hAnsi="Verdana" w:cs="Arial"/>
        </w:rPr>
        <w:t xml:space="preserve"> y </w:t>
      </w:r>
      <w:r w:rsidR="0043467A" w:rsidRPr="003B33FD">
        <w:rPr>
          <w:rFonts w:ascii="Verdana" w:hAnsi="Verdana" w:cs="Arial"/>
        </w:rPr>
        <w:t>2026-321-008028</w:t>
      </w:r>
      <w:r w:rsidR="0035274D" w:rsidRPr="003B33FD">
        <w:rPr>
          <w:rFonts w:ascii="Verdana" w:hAnsi="Verdana" w:cs="Arial"/>
        </w:rPr>
        <w:t>-</w:t>
      </w:r>
      <w:r w:rsidR="0043467A" w:rsidRPr="003B33FD">
        <w:rPr>
          <w:rFonts w:ascii="Verdana" w:hAnsi="Verdana" w:cs="Arial"/>
        </w:rPr>
        <w:t>2</w:t>
      </w:r>
      <w:r w:rsidR="0035274D" w:rsidRPr="003B33FD">
        <w:rPr>
          <w:rFonts w:ascii="Verdana" w:hAnsi="Verdana" w:cs="Arial"/>
        </w:rPr>
        <w:t xml:space="preserve"> </w:t>
      </w:r>
      <w:r w:rsidR="0015393B" w:rsidRPr="003B33FD">
        <w:rPr>
          <w:rFonts w:ascii="Verdana" w:hAnsi="Verdana" w:cs="Arial"/>
        </w:rPr>
        <w:t>del 5 y 10 de junio de 2026 respectivamente</w:t>
      </w:r>
      <w:r w:rsidR="00D40FA4" w:rsidRPr="003B33FD">
        <w:rPr>
          <w:rFonts w:ascii="Verdana" w:hAnsi="Verdana" w:cs="Arial"/>
        </w:rPr>
        <w:t xml:space="preserve"> </w:t>
      </w:r>
      <w:r w:rsidR="004326B8" w:rsidRPr="003B33FD">
        <w:rPr>
          <w:rFonts w:ascii="Verdana" w:hAnsi="Verdana" w:cs="Arial"/>
        </w:rPr>
        <w:t xml:space="preserve">y </w:t>
      </w:r>
      <w:r w:rsidR="00C01CA6" w:rsidRPr="003B33FD">
        <w:rPr>
          <w:rFonts w:ascii="Verdana" w:hAnsi="Verdana" w:cs="Arial"/>
        </w:rPr>
        <w:t>traslado</w:t>
      </w:r>
      <w:r w:rsidR="00B6401F" w:rsidRPr="003B33FD">
        <w:rPr>
          <w:rFonts w:ascii="Verdana" w:hAnsi="Verdana" w:cs="Arial"/>
        </w:rPr>
        <w:t>s</w:t>
      </w:r>
      <w:r w:rsidR="00C01CA6" w:rsidRPr="003B33FD">
        <w:rPr>
          <w:rFonts w:ascii="Verdana" w:hAnsi="Verdana" w:cs="Arial"/>
        </w:rPr>
        <w:t xml:space="preserve"> efectuado</w:t>
      </w:r>
      <w:r w:rsidR="00B6401F" w:rsidRPr="003B33FD">
        <w:rPr>
          <w:rFonts w:ascii="Verdana" w:hAnsi="Verdana" w:cs="Arial"/>
        </w:rPr>
        <w:t>s</w:t>
      </w:r>
      <w:r w:rsidR="00C01CA6" w:rsidRPr="003B33FD">
        <w:rPr>
          <w:rFonts w:ascii="Verdana" w:hAnsi="Verdana" w:cs="Arial"/>
        </w:rPr>
        <w:t xml:space="preserve"> por</w:t>
      </w:r>
      <w:r w:rsidR="00B6401F" w:rsidRPr="003B33FD">
        <w:rPr>
          <w:rFonts w:ascii="Verdana" w:hAnsi="Verdana" w:cs="Arial"/>
        </w:rPr>
        <w:t xml:space="preserve"> la SSPD</w:t>
      </w:r>
      <w:r w:rsidR="0029605A" w:rsidRPr="003B33FD">
        <w:rPr>
          <w:rFonts w:ascii="Verdana" w:hAnsi="Verdana" w:cs="Arial"/>
        </w:rPr>
        <w:t xml:space="preserve">, </w:t>
      </w:r>
      <w:r w:rsidR="00C01CA6" w:rsidRPr="003B33FD">
        <w:rPr>
          <w:rFonts w:ascii="Verdana" w:hAnsi="Verdana" w:cs="Arial"/>
        </w:rPr>
        <w:t>el DNP</w:t>
      </w:r>
      <w:r w:rsidR="00386BA8" w:rsidRPr="003B33FD">
        <w:rPr>
          <w:rFonts w:ascii="Verdana" w:hAnsi="Verdana" w:cs="Arial"/>
        </w:rPr>
        <w:t xml:space="preserve"> y el MADS</w:t>
      </w:r>
      <w:r w:rsidR="00C01CA6" w:rsidRPr="003B33FD">
        <w:rPr>
          <w:rFonts w:ascii="Verdana" w:hAnsi="Verdana" w:cs="Arial"/>
        </w:rPr>
        <w:t xml:space="preserve"> mediante radicado</w:t>
      </w:r>
      <w:r w:rsidR="006B7D5A" w:rsidRPr="003B33FD">
        <w:rPr>
          <w:rFonts w:ascii="Verdana" w:hAnsi="Verdana" w:cs="Arial"/>
        </w:rPr>
        <w:t>s</w:t>
      </w:r>
      <w:r w:rsidR="00C01CA6" w:rsidRPr="003B33FD">
        <w:rPr>
          <w:rFonts w:ascii="Verdana" w:hAnsi="Verdana" w:cs="Arial"/>
        </w:rPr>
        <w:t xml:space="preserve"> </w:t>
      </w:r>
      <w:r w:rsidR="004326B8" w:rsidRPr="003B33FD">
        <w:rPr>
          <w:rFonts w:ascii="Verdana" w:hAnsi="Verdana" w:cs="Arial"/>
        </w:rPr>
        <w:t xml:space="preserve">CRA </w:t>
      </w:r>
      <w:r w:rsidR="006B7D5A" w:rsidRPr="003B33FD">
        <w:rPr>
          <w:rFonts w:ascii="Verdana" w:hAnsi="Verdana" w:cs="Arial"/>
        </w:rPr>
        <w:t>2026-321-007945-2</w:t>
      </w:r>
      <w:r w:rsidR="004326B8" w:rsidRPr="003B33FD">
        <w:rPr>
          <w:rFonts w:ascii="Verdana" w:hAnsi="Verdana" w:cs="Arial"/>
        </w:rPr>
        <w:t xml:space="preserve"> del </w:t>
      </w:r>
      <w:r w:rsidR="004609E4" w:rsidRPr="003B33FD">
        <w:rPr>
          <w:rFonts w:ascii="Verdana" w:hAnsi="Verdana" w:cs="Arial"/>
        </w:rPr>
        <w:t>9 de junio</w:t>
      </w:r>
      <w:r w:rsidR="004326B8" w:rsidRPr="003B33FD">
        <w:rPr>
          <w:rFonts w:ascii="Verdana" w:hAnsi="Verdana" w:cs="Arial"/>
        </w:rPr>
        <w:t xml:space="preserve"> de 2026</w:t>
      </w:r>
      <w:r w:rsidR="00386BA8" w:rsidRPr="003B33FD">
        <w:rPr>
          <w:rFonts w:ascii="Verdana" w:hAnsi="Verdana" w:cs="Arial"/>
        </w:rPr>
        <w:t>,</w:t>
      </w:r>
      <w:r w:rsidR="004609E4" w:rsidRPr="003B33FD">
        <w:rPr>
          <w:rFonts w:ascii="Verdana" w:hAnsi="Verdana" w:cs="Arial"/>
        </w:rPr>
        <w:t xml:space="preserve"> </w:t>
      </w:r>
      <w:r w:rsidR="00E0325A" w:rsidRPr="003B33FD">
        <w:rPr>
          <w:rFonts w:ascii="Verdana" w:hAnsi="Verdana" w:cs="Arial"/>
        </w:rPr>
        <w:t xml:space="preserve">2026-321-008044-2 </w:t>
      </w:r>
      <w:r w:rsidR="00DC7489" w:rsidRPr="003B33FD">
        <w:rPr>
          <w:rFonts w:ascii="Verdana" w:hAnsi="Verdana" w:cs="Arial"/>
        </w:rPr>
        <w:t>del 11 de junio de 2026</w:t>
      </w:r>
      <w:r w:rsidR="00386BA8" w:rsidRPr="003B33FD">
        <w:rPr>
          <w:rFonts w:ascii="Verdana" w:hAnsi="Verdana" w:cs="Arial"/>
        </w:rPr>
        <w:t xml:space="preserve"> y 2026</w:t>
      </w:r>
      <w:r w:rsidR="00CC07C7" w:rsidRPr="003B33FD">
        <w:rPr>
          <w:rFonts w:ascii="Verdana" w:hAnsi="Verdana" w:cs="Arial"/>
        </w:rPr>
        <w:t>-</w:t>
      </w:r>
      <w:r w:rsidR="00386BA8" w:rsidRPr="003B33FD">
        <w:rPr>
          <w:rFonts w:ascii="Verdana" w:hAnsi="Verdana" w:cs="Arial"/>
        </w:rPr>
        <w:t>321</w:t>
      </w:r>
      <w:r w:rsidR="00CC07C7" w:rsidRPr="003B33FD">
        <w:rPr>
          <w:rFonts w:ascii="Verdana" w:hAnsi="Verdana" w:cs="Arial"/>
        </w:rPr>
        <w:t>-</w:t>
      </w:r>
      <w:r w:rsidR="00386BA8" w:rsidRPr="003B33FD">
        <w:rPr>
          <w:rFonts w:ascii="Verdana" w:hAnsi="Verdana" w:cs="Arial"/>
        </w:rPr>
        <w:t>008402</w:t>
      </w:r>
      <w:r w:rsidR="00CC07C7" w:rsidRPr="003B33FD">
        <w:rPr>
          <w:rFonts w:ascii="Verdana" w:hAnsi="Verdana" w:cs="Arial"/>
        </w:rPr>
        <w:t>-</w:t>
      </w:r>
      <w:r w:rsidR="00386BA8" w:rsidRPr="003B33FD">
        <w:rPr>
          <w:rFonts w:ascii="Verdana" w:hAnsi="Verdana" w:cs="Arial"/>
        </w:rPr>
        <w:t>2</w:t>
      </w:r>
      <w:r w:rsidR="00CC07C7" w:rsidRPr="003B33FD">
        <w:rPr>
          <w:rFonts w:ascii="Verdana" w:hAnsi="Verdana" w:cs="Arial"/>
        </w:rPr>
        <w:t xml:space="preserve"> del 22 de junio de 2026</w:t>
      </w:r>
      <w:r w:rsidR="00DC7489" w:rsidRPr="003B33FD">
        <w:rPr>
          <w:rFonts w:ascii="Verdana" w:hAnsi="Verdana" w:cs="Arial"/>
        </w:rPr>
        <w:t xml:space="preserve"> respectivamente</w:t>
      </w:r>
      <w:r w:rsidR="004326B8" w:rsidRPr="003B33FD">
        <w:rPr>
          <w:rFonts w:ascii="Verdana" w:hAnsi="Verdana" w:cs="Arial"/>
        </w:rPr>
        <w:t>.</w:t>
      </w:r>
    </w:p>
    <w:p w14:paraId="5C9F641D" w14:textId="77777777" w:rsidR="00A55ABF" w:rsidRPr="003B33FD" w:rsidRDefault="00A55ABF" w:rsidP="00A55ABF">
      <w:pPr>
        <w:jc w:val="both"/>
        <w:rPr>
          <w:rFonts w:ascii="Verdana" w:hAnsi="Verdana" w:cs="Arial"/>
        </w:rPr>
      </w:pPr>
    </w:p>
    <w:p w14:paraId="488DA04E" w14:textId="39FEDD52" w:rsidR="00A01308" w:rsidRPr="003B33FD" w:rsidRDefault="00863F0D" w:rsidP="00A01308">
      <w:pPr>
        <w:jc w:val="both"/>
        <w:rPr>
          <w:rFonts w:ascii="Verdana" w:hAnsi="Verdana" w:cs="Arial"/>
        </w:rPr>
      </w:pPr>
      <w:r w:rsidRPr="003B33FD">
        <w:rPr>
          <w:rFonts w:ascii="Verdana" w:hAnsi="Verdana" w:cs="Arial"/>
        </w:rPr>
        <w:t>Respetad</w:t>
      </w:r>
      <w:r w:rsidR="00396997" w:rsidRPr="003B33FD">
        <w:rPr>
          <w:rFonts w:ascii="Verdana" w:hAnsi="Verdana" w:cs="Arial"/>
        </w:rPr>
        <w:t>a</w:t>
      </w:r>
      <w:r w:rsidRPr="003B33FD">
        <w:rPr>
          <w:rFonts w:ascii="Verdana" w:hAnsi="Verdana" w:cs="Arial"/>
        </w:rPr>
        <w:t xml:space="preserve"> </w:t>
      </w:r>
      <w:r w:rsidR="0062083E" w:rsidRPr="003B33FD">
        <w:rPr>
          <w:rFonts w:ascii="Verdana" w:hAnsi="Verdana" w:cs="Arial"/>
        </w:rPr>
        <w:t>señor</w:t>
      </w:r>
      <w:r w:rsidR="00396997" w:rsidRPr="003B33FD">
        <w:rPr>
          <w:rFonts w:ascii="Verdana" w:hAnsi="Verdana" w:cs="Arial"/>
        </w:rPr>
        <w:t>a</w:t>
      </w:r>
      <w:r w:rsidR="0062083E" w:rsidRPr="003B33FD">
        <w:rPr>
          <w:rFonts w:ascii="Verdana" w:hAnsi="Verdana" w:cs="Arial"/>
        </w:rPr>
        <w:t xml:space="preserve"> </w:t>
      </w:r>
      <w:r w:rsidR="00046010" w:rsidRPr="003B33FD">
        <w:rPr>
          <w:rFonts w:ascii="Verdana" w:hAnsi="Verdana" w:cs="Arial"/>
        </w:rPr>
        <w:t>Gutiérrez</w:t>
      </w:r>
      <w:r w:rsidR="004D3BF3" w:rsidRPr="003B33FD">
        <w:rPr>
          <w:rFonts w:ascii="Verdana" w:hAnsi="Verdana" w:cs="Arial"/>
        </w:rPr>
        <w:t xml:space="preserve">, </w:t>
      </w:r>
    </w:p>
    <w:p w14:paraId="7AACBAD3" w14:textId="77777777" w:rsidR="004D3BF3" w:rsidRPr="003B33FD" w:rsidRDefault="004D3BF3" w:rsidP="00A01308">
      <w:pPr>
        <w:jc w:val="both"/>
        <w:rPr>
          <w:rFonts w:ascii="Verdana" w:hAnsi="Verdana" w:cs="Arial"/>
        </w:rPr>
      </w:pPr>
    </w:p>
    <w:p w14:paraId="17C321B5" w14:textId="0A2039C9" w:rsidR="004326B8" w:rsidRPr="003B33FD" w:rsidRDefault="004326B8" w:rsidP="004326B8">
      <w:pPr>
        <w:jc w:val="both"/>
        <w:rPr>
          <w:rFonts w:ascii="Verdana" w:hAnsi="Verdana" w:cs="Arial"/>
        </w:rPr>
      </w:pPr>
      <w:r w:rsidRPr="003B33FD">
        <w:rPr>
          <w:rFonts w:ascii="Verdana" w:hAnsi="Verdana" w:cs="Arial"/>
        </w:rPr>
        <w:t xml:space="preserve">Recibimos las comunicaciones del asunto, mediante las cuales Empresas Públicas de Medellín E.S.P. presentó ante esta Comisión solicitud de </w:t>
      </w:r>
      <w:r w:rsidR="00E273D5" w:rsidRPr="003B33FD">
        <w:rPr>
          <w:rFonts w:ascii="Verdana" w:hAnsi="Verdana" w:cs="Arial"/>
        </w:rPr>
        <w:t>aclaración</w:t>
      </w:r>
      <w:r w:rsidRPr="003B33FD">
        <w:rPr>
          <w:rFonts w:ascii="Verdana" w:hAnsi="Verdana" w:cs="Arial"/>
        </w:rPr>
        <w:t xml:space="preserve"> sobre</w:t>
      </w:r>
      <w:r w:rsidR="003B7CC3" w:rsidRPr="003B33FD">
        <w:rPr>
          <w:rFonts w:ascii="Verdana" w:hAnsi="Verdana" w:cs="Arial"/>
        </w:rPr>
        <w:t xml:space="preserve"> varios puntos</w:t>
      </w:r>
      <w:r w:rsidR="003F3284" w:rsidRPr="003B33FD">
        <w:rPr>
          <w:rFonts w:ascii="Verdana" w:hAnsi="Verdana" w:cs="Arial"/>
        </w:rPr>
        <w:t xml:space="preserve"> de</w:t>
      </w:r>
      <w:r w:rsidR="003B7CC3" w:rsidRPr="003B33FD">
        <w:rPr>
          <w:rFonts w:ascii="Verdana" w:hAnsi="Verdana" w:cs="Arial"/>
        </w:rPr>
        <w:t xml:space="preserve"> </w:t>
      </w:r>
      <w:r w:rsidRPr="003B33FD">
        <w:rPr>
          <w:rFonts w:ascii="Verdana" w:hAnsi="Verdana" w:cs="Arial"/>
        </w:rPr>
        <w:t>la Resolución CRA 1032 de 2026</w:t>
      </w:r>
      <w:r w:rsidR="00C01CA6" w:rsidRPr="003B33FD">
        <w:rPr>
          <w:rFonts w:ascii="Verdana" w:hAnsi="Verdana" w:cs="Arial"/>
        </w:rPr>
        <w:t xml:space="preserve"> e i</w:t>
      </w:r>
      <w:r w:rsidRPr="003B33FD">
        <w:rPr>
          <w:rFonts w:ascii="Verdana" w:hAnsi="Verdana" w:cs="Arial"/>
        </w:rPr>
        <w:t>gualmente se recibi</w:t>
      </w:r>
      <w:r w:rsidR="00225D77" w:rsidRPr="003B33FD">
        <w:rPr>
          <w:rFonts w:ascii="Verdana" w:hAnsi="Verdana" w:cs="Arial"/>
        </w:rPr>
        <w:t xml:space="preserve">eron </w:t>
      </w:r>
      <w:r w:rsidRPr="003B33FD">
        <w:rPr>
          <w:rFonts w:ascii="Verdana" w:hAnsi="Verdana" w:cs="Arial"/>
        </w:rPr>
        <w:t>traslado</w:t>
      </w:r>
      <w:r w:rsidR="00225D77" w:rsidRPr="003B33FD">
        <w:rPr>
          <w:rFonts w:ascii="Verdana" w:hAnsi="Verdana" w:cs="Arial"/>
        </w:rPr>
        <w:t>s</w:t>
      </w:r>
      <w:r w:rsidR="00227099" w:rsidRPr="003B33FD">
        <w:rPr>
          <w:rFonts w:ascii="Verdana" w:hAnsi="Verdana" w:cs="Arial"/>
        </w:rPr>
        <w:t xml:space="preserve"> </w:t>
      </w:r>
      <w:r w:rsidRPr="003B33FD">
        <w:rPr>
          <w:rFonts w:ascii="Verdana" w:hAnsi="Verdana" w:cs="Arial"/>
        </w:rPr>
        <w:t>efectuado</w:t>
      </w:r>
      <w:r w:rsidR="00225D77" w:rsidRPr="003B33FD">
        <w:rPr>
          <w:rFonts w:ascii="Verdana" w:hAnsi="Verdana" w:cs="Arial"/>
        </w:rPr>
        <w:t>s</w:t>
      </w:r>
      <w:r w:rsidRPr="003B33FD">
        <w:rPr>
          <w:rFonts w:ascii="Verdana" w:hAnsi="Verdana" w:cs="Arial"/>
        </w:rPr>
        <w:t xml:space="preserve"> por</w:t>
      </w:r>
      <w:r w:rsidR="00C01CA6" w:rsidRPr="003B33FD">
        <w:rPr>
          <w:rFonts w:ascii="Verdana" w:hAnsi="Verdana" w:cs="Arial"/>
        </w:rPr>
        <w:t xml:space="preserve"> </w:t>
      </w:r>
      <w:r w:rsidR="00227099" w:rsidRPr="003B33FD">
        <w:rPr>
          <w:rFonts w:ascii="Verdana" w:hAnsi="Verdana" w:cs="Arial"/>
        </w:rPr>
        <w:t xml:space="preserve">la Superintendencia de Servicios Públicos Domiciliarios </w:t>
      </w:r>
      <w:r w:rsidR="0071310F" w:rsidRPr="003B33FD">
        <w:rPr>
          <w:rFonts w:ascii="Verdana" w:hAnsi="Verdana" w:cs="Arial"/>
        </w:rPr>
        <w:t xml:space="preserve">– SSPD y </w:t>
      </w:r>
      <w:r w:rsidR="00C01CA6" w:rsidRPr="003B33FD">
        <w:rPr>
          <w:rFonts w:ascii="Verdana" w:hAnsi="Verdana" w:cs="Arial"/>
        </w:rPr>
        <w:t>el</w:t>
      </w:r>
      <w:r w:rsidRPr="003B33FD">
        <w:rPr>
          <w:rFonts w:ascii="Verdana" w:hAnsi="Verdana" w:cs="Arial"/>
        </w:rPr>
        <w:t xml:space="preserve"> </w:t>
      </w:r>
      <w:r w:rsidR="00C01CA6" w:rsidRPr="003B33FD">
        <w:rPr>
          <w:rFonts w:ascii="Verdana" w:hAnsi="Verdana" w:cs="Arial"/>
        </w:rPr>
        <w:t>Departamento Nacional de Planeación - DNP</w:t>
      </w:r>
      <w:r w:rsidRPr="003B33FD">
        <w:rPr>
          <w:rFonts w:ascii="Verdana" w:hAnsi="Verdana" w:cs="Arial"/>
        </w:rPr>
        <w:t>, entidad</w:t>
      </w:r>
      <w:r w:rsidR="0071310F" w:rsidRPr="003B33FD">
        <w:rPr>
          <w:rFonts w:ascii="Verdana" w:hAnsi="Verdana" w:cs="Arial"/>
        </w:rPr>
        <w:t>es</w:t>
      </w:r>
      <w:r w:rsidRPr="003B33FD">
        <w:rPr>
          <w:rFonts w:ascii="Verdana" w:hAnsi="Verdana" w:cs="Arial"/>
        </w:rPr>
        <w:t xml:space="preserve"> a la</w:t>
      </w:r>
      <w:r w:rsidR="0071310F" w:rsidRPr="003B33FD">
        <w:rPr>
          <w:rFonts w:ascii="Verdana" w:hAnsi="Verdana" w:cs="Arial"/>
        </w:rPr>
        <w:t>s</w:t>
      </w:r>
      <w:r w:rsidRPr="003B33FD">
        <w:rPr>
          <w:rFonts w:ascii="Verdana" w:hAnsi="Verdana" w:cs="Arial"/>
        </w:rPr>
        <w:t xml:space="preserve"> cual</w:t>
      </w:r>
      <w:r w:rsidR="0071310F" w:rsidRPr="003B33FD">
        <w:rPr>
          <w:rFonts w:ascii="Verdana" w:hAnsi="Verdana" w:cs="Arial"/>
        </w:rPr>
        <w:t>es</w:t>
      </w:r>
      <w:r w:rsidRPr="003B33FD">
        <w:rPr>
          <w:rFonts w:ascii="Verdana" w:hAnsi="Verdana" w:cs="Arial"/>
        </w:rPr>
        <w:t xml:space="preserve"> Empresas Públicas de Medellín E.S.P. remitió copia</w:t>
      </w:r>
      <w:r w:rsidR="008E3522" w:rsidRPr="003B33FD">
        <w:rPr>
          <w:rFonts w:ascii="Verdana" w:hAnsi="Verdana" w:cs="Arial"/>
        </w:rPr>
        <w:t>s</w:t>
      </w:r>
      <w:r w:rsidRPr="003B33FD">
        <w:rPr>
          <w:rFonts w:ascii="Verdana" w:hAnsi="Verdana" w:cs="Arial"/>
        </w:rPr>
        <w:t xml:space="preserve"> de las inquietudes objeto de consulta.</w:t>
      </w:r>
    </w:p>
    <w:p w14:paraId="5497EB15" w14:textId="77777777" w:rsidR="00C01CA6" w:rsidRPr="003B33FD" w:rsidRDefault="00C01CA6" w:rsidP="00C01CA6">
      <w:pPr>
        <w:rPr>
          <w:rFonts w:ascii="Verdana" w:hAnsi="Verdana" w:cs="Arial"/>
        </w:rPr>
      </w:pPr>
    </w:p>
    <w:p w14:paraId="33DF67E7" w14:textId="3876D04D" w:rsidR="00C66D81" w:rsidRPr="003B33FD" w:rsidRDefault="002B2B48" w:rsidP="00C66D81">
      <w:pPr>
        <w:contextualSpacing/>
        <w:jc w:val="both"/>
        <w:rPr>
          <w:rFonts w:ascii="Verdana" w:hAnsi="Verdana" w:cs="Arial"/>
        </w:rPr>
      </w:pPr>
      <w:r w:rsidRPr="003B33FD">
        <w:rPr>
          <w:rFonts w:ascii="Verdana" w:hAnsi="Verdana" w:cs="Arial"/>
        </w:rPr>
        <w:t xml:space="preserve">Previo a dar respuesta es preciso señalar que conforme </w:t>
      </w:r>
      <w:r w:rsidR="00AB3C70" w:rsidRPr="003B33FD">
        <w:rPr>
          <w:rFonts w:ascii="Verdana" w:hAnsi="Verdana" w:cs="Arial"/>
        </w:rPr>
        <w:t>con el alcance previsto en el artículo 28</w:t>
      </w:r>
      <w:r w:rsidR="00AB3C70" w:rsidRPr="003B33FD">
        <w:rPr>
          <w:rStyle w:val="Refdenotaalpie"/>
          <w:rFonts w:ascii="Verdana" w:hAnsi="Verdana" w:cs="Arial"/>
        </w:rPr>
        <w:footnoteReference w:id="1"/>
      </w:r>
      <w:r w:rsidR="00AB3C70" w:rsidRPr="003B33FD">
        <w:rPr>
          <w:rFonts w:ascii="Verdana" w:hAnsi="Verdana" w:cs="Arial"/>
        </w:rPr>
        <w:t xml:space="preserve"> del Código de Procedimiento Administrativo y de lo Contencioso Administrativo,</w:t>
      </w:r>
      <w:r w:rsidRPr="003B33FD">
        <w:rPr>
          <w:rFonts w:ascii="Verdana" w:hAnsi="Verdana" w:cs="Arial"/>
        </w:rPr>
        <w:t xml:space="preserve"> </w:t>
      </w:r>
      <w:r w:rsidR="00AB3C70" w:rsidRPr="003B33FD">
        <w:rPr>
          <w:rFonts w:ascii="Verdana" w:hAnsi="Verdana" w:cs="Arial"/>
        </w:rPr>
        <w:t>los conceptos emitidos por esta Comisión de Regulación constituyen orientaciones y puntos de vista de carácter general, que no comprenden la solución directa de problemas específicos, ni el análisis de situaciones particulares y no tienen carácter obligatorio ni vinculante.</w:t>
      </w:r>
      <w:r w:rsidR="009953F0" w:rsidRPr="003B33FD">
        <w:rPr>
          <w:rFonts w:ascii="Verdana" w:hAnsi="Verdana"/>
        </w:rPr>
        <w:t xml:space="preserve"> </w:t>
      </w:r>
      <w:r w:rsidR="009953F0" w:rsidRPr="003B33FD">
        <w:rPr>
          <w:rFonts w:ascii="Verdana" w:hAnsi="Verdana" w:cs="Arial"/>
        </w:rPr>
        <w:t xml:space="preserve">Adicionalmente la presente respuesta se emite </w:t>
      </w:r>
      <w:r w:rsidR="000904C3" w:rsidRPr="003B33FD">
        <w:rPr>
          <w:rFonts w:ascii="Verdana" w:hAnsi="Verdana" w:cs="Arial"/>
        </w:rPr>
        <w:t>sin</w:t>
      </w:r>
      <w:r w:rsidR="009953F0" w:rsidRPr="003B33FD">
        <w:rPr>
          <w:rFonts w:ascii="Verdana" w:hAnsi="Verdana" w:cs="Arial"/>
        </w:rPr>
        <w:t xml:space="preserve"> perjuicio de lo que sobre el particular consideren otras entidades en el marco de sus competencias.</w:t>
      </w:r>
    </w:p>
    <w:p w14:paraId="66324938" w14:textId="77777777" w:rsidR="008E3522" w:rsidRPr="003B33FD" w:rsidRDefault="008E3522" w:rsidP="00C66D81">
      <w:pPr>
        <w:contextualSpacing/>
        <w:jc w:val="both"/>
        <w:rPr>
          <w:rFonts w:ascii="Verdana" w:hAnsi="Verdana" w:cs="Arial"/>
        </w:rPr>
      </w:pPr>
    </w:p>
    <w:p w14:paraId="28F74F69" w14:textId="0D73782D" w:rsidR="008E3522" w:rsidRPr="003B33FD" w:rsidRDefault="009E0816" w:rsidP="00C66D81">
      <w:pPr>
        <w:jc w:val="both"/>
        <w:rPr>
          <w:rFonts w:ascii="Verdana" w:hAnsi="Verdana" w:cs="Arial"/>
        </w:rPr>
      </w:pPr>
      <w:r w:rsidRPr="003B33FD">
        <w:rPr>
          <w:rFonts w:ascii="Verdana" w:hAnsi="Verdana" w:cs="Arial"/>
        </w:rPr>
        <w:lastRenderedPageBreak/>
        <w:t xml:space="preserve">A </w:t>
      </w:r>
      <w:r w:rsidR="00D82F2B" w:rsidRPr="003B33FD">
        <w:rPr>
          <w:rFonts w:ascii="Verdana" w:hAnsi="Verdana" w:cs="Arial"/>
        </w:rPr>
        <w:t>continuación,</w:t>
      </w:r>
      <w:r w:rsidRPr="003B33FD">
        <w:rPr>
          <w:rFonts w:ascii="Verdana" w:hAnsi="Verdana" w:cs="Arial"/>
        </w:rPr>
        <w:t xml:space="preserve"> se </w:t>
      </w:r>
      <w:r w:rsidR="0024056E" w:rsidRPr="003B33FD">
        <w:rPr>
          <w:rFonts w:ascii="Verdana" w:hAnsi="Verdana" w:cs="Arial"/>
        </w:rPr>
        <w:t xml:space="preserve">desarrollan las respuestas </w:t>
      </w:r>
      <w:r w:rsidRPr="003B33FD">
        <w:rPr>
          <w:rFonts w:ascii="Verdana" w:hAnsi="Verdana" w:cs="Arial"/>
        </w:rPr>
        <w:t>de acuerdo con el orden que remite en su comunicación.</w:t>
      </w:r>
    </w:p>
    <w:p w14:paraId="6D3973F8" w14:textId="77777777" w:rsidR="00CD096A" w:rsidRPr="003B33FD" w:rsidRDefault="00CD096A" w:rsidP="00C66D81">
      <w:pPr>
        <w:contextualSpacing/>
        <w:jc w:val="both"/>
        <w:rPr>
          <w:rFonts w:ascii="Verdana" w:hAnsi="Verdana" w:cs="Arial"/>
        </w:rPr>
      </w:pPr>
    </w:p>
    <w:p w14:paraId="12A070FA" w14:textId="180F7E26" w:rsidR="005163DC" w:rsidRPr="003B33FD" w:rsidRDefault="00E87143" w:rsidP="00E21D30">
      <w:pPr>
        <w:pStyle w:val="Prrafodelista"/>
        <w:numPr>
          <w:ilvl w:val="0"/>
          <w:numId w:val="9"/>
        </w:numPr>
        <w:ind w:left="567" w:hanging="283"/>
        <w:jc w:val="both"/>
        <w:rPr>
          <w:rFonts w:ascii="Verdana" w:hAnsi="Verdana" w:cs="Arial"/>
          <w:b/>
          <w:bCs/>
          <w:i/>
          <w:iCs/>
        </w:rPr>
      </w:pPr>
      <w:r w:rsidRPr="003B33FD">
        <w:rPr>
          <w:rFonts w:ascii="Verdana" w:hAnsi="Verdana" w:cs="Arial"/>
          <w:b/>
          <w:bCs/>
          <w:i/>
          <w:iCs/>
        </w:rPr>
        <w:t>Aplicación del CCP en esquemas regionales con costos de prestación</w:t>
      </w:r>
      <w:r w:rsidR="001C5A6E" w:rsidRPr="003B33FD">
        <w:rPr>
          <w:rFonts w:ascii="Verdana" w:hAnsi="Verdana" w:cs="Arial"/>
          <w:b/>
          <w:bCs/>
          <w:i/>
          <w:iCs/>
        </w:rPr>
        <w:t xml:space="preserve"> </w:t>
      </w:r>
      <w:r w:rsidRPr="003B33FD">
        <w:rPr>
          <w:rFonts w:ascii="Verdana" w:hAnsi="Verdana" w:cs="Arial"/>
          <w:b/>
          <w:bCs/>
          <w:i/>
          <w:iCs/>
        </w:rPr>
        <w:t>unificados frente a la definición del IPUF por APS</w:t>
      </w:r>
    </w:p>
    <w:p w14:paraId="21DB6A10" w14:textId="77777777" w:rsidR="00FB390A" w:rsidRPr="003B33FD" w:rsidRDefault="00FB390A" w:rsidP="002D7E07">
      <w:pPr>
        <w:ind w:left="284"/>
        <w:jc w:val="both"/>
        <w:rPr>
          <w:rFonts w:ascii="Verdana" w:hAnsi="Verdana" w:cs="Arial"/>
          <w:b/>
          <w:bCs/>
          <w:i/>
          <w:iCs/>
        </w:rPr>
      </w:pPr>
    </w:p>
    <w:p w14:paraId="69C6678C" w14:textId="57B233DD" w:rsidR="000E3946" w:rsidRDefault="000E3946"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¿Cómo debe determinarse el CCP unificado cuando el prestador opte por agregar los costos del CMO, CMI y CMICT sin efectuar desagregación de costos por APS, especialmente cuando las APS integradas presentan trayectorias distintas de reducción de pérdidas?</w:t>
      </w:r>
    </w:p>
    <w:p w14:paraId="2F7A0045" w14:textId="77777777" w:rsidR="009C7292" w:rsidRPr="003B33FD" w:rsidRDefault="009C7292" w:rsidP="009C7292">
      <w:pPr>
        <w:pStyle w:val="Prrafodelista"/>
        <w:ind w:left="851"/>
        <w:jc w:val="both"/>
        <w:rPr>
          <w:rFonts w:ascii="Verdana" w:hAnsi="Verdana" w:cs="Arial"/>
          <w:b/>
          <w:bCs/>
          <w:i/>
          <w:iCs/>
        </w:rPr>
      </w:pPr>
    </w:p>
    <w:p w14:paraId="2CC33417" w14:textId="528DAA8B" w:rsidR="00261992" w:rsidRPr="003B33FD" w:rsidRDefault="0052460E"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¿El criterio de agregación del CCP previsto en la Circular CRA 01 de 2026 para el cálculo del CMI en esquemas regionales con costos unificados resulta igualmente aplicable a los demás componentes tarifarios cuya estructura metodológica incorpora como denominador el Consumo Corregido por Pérdidas (CCP), particularmente el CMO y el CMICT?</w:t>
      </w:r>
    </w:p>
    <w:p w14:paraId="5876E4A0" w14:textId="77777777" w:rsidR="002A0197" w:rsidRPr="003B33FD" w:rsidRDefault="002A0197" w:rsidP="002D7E07">
      <w:pPr>
        <w:ind w:left="284"/>
        <w:jc w:val="both"/>
        <w:rPr>
          <w:rFonts w:ascii="Verdana" w:hAnsi="Verdana" w:cs="Arial"/>
          <w:b/>
          <w:bCs/>
          <w:i/>
          <w:iCs/>
        </w:rPr>
      </w:pPr>
    </w:p>
    <w:p w14:paraId="6085B9AB" w14:textId="66B7B3F9" w:rsidR="00C255E4" w:rsidRPr="003B33FD" w:rsidRDefault="00FD7D91" w:rsidP="00602426">
      <w:pPr>
        <w:jc w:val="both"/>
        <w:rPr>
          <w:rFonts w:ascii="Verdana" w:hAnsi="Verdana" w:cs="Arial"/>
        </w:rPr>
      </w:pPr>
      <w:r w:rsidRPr="003B33FD">
        <w:rPr>
          <w:rFonts w:ascii="Verdana" w:hAnsi="Verdana" w:cs="Arial"/>
        </w:rPr>
        <w:t xml:space="preserve">Bajo el marco de la Resolución CRA 1032 de 2026, cuando un prestador con esquema regional (que atiende dos o más municipios) opta por </w:t>
      </w:r>
      <w:r w:rsidR="00FB12F8" w:rsidRPr="003B33FD">
        <w:rPr>
          <w:rFonts w:ascii="Verdana" w:hAnsi="Verdana" w:cs="Arial"/>
        </w:rPr>
        <w:t>agregar</w:t>
      </w:r>
      <w:r w:rsidRPr="003B33FD">
        <w:rPr>
          <w:rFonts w:ascii="Verdana" w:hAnsi="Verdana" w:cs="Arial"/>
        </w:rPr>
        <w:t xml:space="preserve"> sus costos medios</w:t>
      </w:r>
      <w:r w:rsidR="001D701C" w:rsidRPr="003B33FD">
        <w:rPr>
          <w:rFonts w:ascii="Verdana" w:hAnsi="Verdana" w:cs="Arial"/>
        </w:rPr>
        <w:t xml:space="preserve"> de operación (CMO), inversión (CMI) y de impuestos, contribuciones y tasas (CMICT), </w:t>
      </w:r>
      <w:r w:rsidRPr="003B33FD">
        <w:rPr>
          <w:rFonts w:ascii="Verdana" w:hAnsi="Verdana" w:cs="Arial"/>
        </w:rPr>
        <w:t>la determinación del Consumo Corregido por Pérdidas (CCP) unificado debe realizarse mediante la sumatoria de l</w:t>
      </w:r>
      <w:r w:rsidR="006928B8" w:rsidRPr="003B33FD">
        <w:rPr>
          <w:rFonts w:ascii="Verdana" w:hAnsi="Verdana" w:cs="Arial"/>
        </w:rPr>
        <w:t>o</w:t>
      </w:r>
      <w:r w:rsidRPr="003B33FD">
        <w:rPr>
          <w:rFonts w:ascii="Verdana" w:hAnsi="Verdana" w:cs="Arial"/>
        </w:rPr>
        <w:t xml:space="preserve">s </w:t>
      </w:r>
      <w:r w:rsidR="006928B8" w:rsidRPr="003B33FD">
        <w:rPr>
          <w:rFonts w:ascii="Verdana" w:hAnsi="Verdana" w:cs="Arial"/>
        </w:rPr>
        <w:t>CCP</w:t>
      </w:r>
      <w:r w:rsidRPr="003B33FD">
        <w:rPr>
          <w:rFonts w:ascii="Verdana" w:hAnsi="Verdana" w:cs="Arial"/>
        </w:rPr>
        <w:t xml:space="preserve"> de cada una de las Áreas de Prestación del Servicio</w:t>
      </w:r>
      <w:r w:rsidR="00E15F28" w:rsidRPr="003B33FD">
        <w:rPr>
          <w:rFonts w:ascii="Verdana" w:hAnsi="Verdana" w:cs="Arial"/>
        </w:rPr>
        <w:t>-</w:t>
      </w:r>
      <w:r w:rsidRPr="003B33FD">
        <w:rPr>
          <w:rFonts w:ascii="Verdana" w:hAnsi="Verdana" w:cs="Arial"/>
        </w:rPr>
        <w:t>APS involucradas</w:t>
      </w:r>
      <w:r w:rsidR="001636C0" w:rsidRPr="003B33FD">
        <w:rPr>
          <w:rFonts w:ascii="Verdana" w:hAnsi="Verdana" w:cs="Arial"/>
        </w:rPr>
        <w:t>, considerando que cada APS puede tener trayectorias de reducción de pérdidas distintas</w:t>
      </w:r>
      <w:r w:rsidR="00B802AD" w:rsidRPr="003B33FD">
        <w:rPr>
          <w:rFonts w:ascii="Verdana" w:hAnsi="Verdana" w:cs="Arial"/>
        </w:rPr>
        <w:t>.</w:t>
      </w:r>
    </w:p>
    <w:p w14:paraId="7309B88B" w14:textId="77777777" w:rsidR="00B802AD" w:rsidRPr="003B33FD" w:rsidRDefault="00B802AD" w:rsidP="00602426">
      <w:pPr>
        <w:jc w:val="both"/>
        <w:rPr>
          <w:rFonts w:ascii="Verdana" w:hAnsi="Verdana" w:cs="Arial"/>
        </w:rPr>
      </w:pPr>
    </w:p>
    <w:p w14:paraId="1F3EF904" w14:textId="263B3079" w:rsidR="0054749B" w:rsidRPr="003B33FD" w:rsidRDefault="00C63A23" w:rsidP="00602426">
      <w:pPr>
        <w:jc w:val="both"/>
        <w:rPr>
          <w:rFonts w:ascii="Verdana" w:hAnsi="Verdana" w:cs="Arial"/>
        </w:rPr>
      </w:pPr>
      <w:r w:rsidRPr="003B33FD">
        <w:rPr>
          <w:rFonts w:ascii="Verdana" w:hAnsi="Verdana" w:cs="Arial"/>
        </w:rPr>
        <w:t>Para garantizar la consistencia metodológica</w:t>
      </w:r>
      <w:r w:rsidR="002B6D8C" w:rsidRPr="003B33FD">
        <w:rPr>
          <w:rFonts w:ascii="Verdana" w:hAnsi="Verdana" w:cs="Arial"/>
        </w:rPr>
        <w:t xml:space="preserve"> </w:t>
      </w:r>
      <w:r w:rsidR="00191C98" w:rsidRPr="003B33FD">
        <w:rPr>
          <w:rFonts w:ascii="Verdana" w:hAnsi="Verdana" w:cs="Arial"/>
        </w:rPr>
        <w:t xml:space="preserve">el prestador </w:t>
      </w:r>
      <w:r w:rsidR="004F57DE" w:rsidRPr="003B33FD">
        <w:rPr>
          <w:rFonts w:ascii="Verdana" w:hAnsi="Verdana" w:cs="Arial"/>
        </w:rPr>
        <w:t>debe estimar el CCP de manera independiente para cada APS, respetando su propia gradualidad</w:t>
      </w:r>
      <w:r w:rsidR="00442219" w:rsidRPr="003B33FD">
        <w:rPr>
          <w:rFonts w:ascii="Verdana" w:hAnsi="Verdana" w:cs="Arial"/>
        </w:rPr>
        <w:t xml:space="preserve"> </w:t>
      </w:r>
      <w:r w:rsidR="004F57DE" w:rsidRPr="003B33FD">
        <w:rPr>
          <w:rFonts w:ascii="Verdana" w:hAnsi="Verdana" w:cs="Arial"/>
        </w:rPr>
        <w:t xml:space="preserve">y condiciones </w:t>
      </w:r>
      <w:r w:rsidR="00694F59" w:rsidRPr="003B33FD">
        <w:rPr>
          <w:rFonts w:ascii="Verdana" w:hAnsi="Verdana" w:cs="Arial"/>
        </w:rPr>
        <w:t>especiales</w:t>
      </w:r>
      <w:r w:rsidR="00442219" w:rsidRPr="003B33FD">
        <w:rPr>
          <w:rFonts w:ascii="Verdana" w:hAnsi="Verdana" w:cs="Arial"/>
        </w:rPr>
        <w:t>,</w:t>
      </w:r>
      <w:r w:rsidR="00BC147F" w:rsidRPr="003B33FD">
        <w:rPr>
          <w:rFonts w:ascii="Verdana" w:hAnsi="Verdana" w:cs="Arial"/>
        </w:rPr>
        <w:t xml:space="preserve"> en particular </w:t>
      </w:r>
      <w:r w:rsidR="00442219" w:rsidRPr="003B33FD">
        <w:rPr>
          <w:rFonts w:ascii="Verdana" w:hAnsi="Verdana" w:cs="Arial"/>
        </w:rPr>
        <w:t>para e</w:t>
      </w:r>
      <w:r w:rsidR="00BC147F" w:rsidRPr="003B33FD">
        <w:rPr>
          <w:rFonts w:ascii="Verdana" w:hAnsi="Verdana" w:cs="Arial"/>
        </w:rPr>
        <w:t>l valor del estándar de pérdidas (IPUF</w:t>
      </w:r>
      <w:r w:rsidR="00442219" w:rsidRPr="003B33FD">
        <w:rPr>
          <w:rFonts w:ascii="Verdana" w:hAnsi="Verdana" w:cs="Arial"/>
        </w:rPr>
        <w:t>*</w:t>
      </w:r>
      <w:r w:rsidR="00BC147F" w:rsidRPr="003B33FD">
        <w:rPr>
          <w:rFonts w:ascii="Verdana" w:hAnsi="Verdana" w:cs="Arial"/>
        </w:rPr>
        <w:t>) a utilizar en cada APS</w:t>
      </w:r>
      <w:r w:rsidR="00BB7E48" w:rsidRPr="003B33FD">
        <w:rPr>
          <w:rFonts w:ascii="Verdana" w:hAnsi="Verdana" w:cs="Arial"/>
        </w:rPr>
        <w:t>. U</w:t>
      </w:r>
      <w:r w:rsidR="0054749B" w:rsidRPr="003B33FD">
        <w:rPr>
          <w:rFonts w:ascii="Verdana" w:hAnsi="Verdana" w:cs="Arial"/>
        </w:rPr>
        <w:t xml:space="preserve">na vez obtenidos los CCP de cada </w:t>
      </w:r>
      <w:r w:rsidR="00BB7E48" w:rsidRPr="003B33FD">
        <w:rPr>
          <w:rFonts w:ascii="Verdana" w:hAnsi="Verdana" w:cs="Arial"/>
        </w:rPr>
        <w:t>APS</w:t>
      </w:r>
      <w:r w:rsidR="0054749B" w:rsidRPr="003B33FD">
        <w:rPr>
          <w:rFonts w:ascii="Verdana" w:hAnsi="Verdana" w:cs="Arial"/>
        </w:rPr>
        <w:t>, el CCP unificado que servirá como denominador para los componentes tarifarios agregados se obtiene mediante la sumatoria simple de estos</w:t>
      </w:r>
      <w:r w:rsidR="004E1FBD" w:rsidRPr="003B33FD">
        <w:rPr>
          <w:rFonts w:ascii="Verdana" w:hAnsi="Verdana" w:cs="Arial"/>
        </w:rPr>
        <w:t>.</w:t>
      </w:r>
      <w:r w:rsidR="00BC7AE1" w:rsidRPr="003B33FD">
        <w:rPr>
          <w:rFonts w:ascii="Verdana" w:hAnsi="Verdana" w:cs="Arial"/>
        </w:rPr>
        <w:t xml:space="preserve"> </w:t>
      </w:r>
      <w:r w:rsidR="00A5440C" w:rsidRPr="003B33FD">
        <w:rPr>
          <w:rFonts w:ascii="Verdana" w:hAnsi="Verdana" w:cs="Arial"/>
        </w:rPr>
        <w:t>Este procedimiento</w:t>
      </w:r>
      <w:r w:rsidR="00CF60E1" w:rsidRPr="003B33FD">
        <w:rPr>
          <w:rFonts w:ascii="Verdana" w:hAnsi="Verdana" w:cs="Arial"/>
        </w:rPr>
        <w:t xml:space="preserve"> reconoce </w:t>
      </w:r>
      <w:r w:rsidR="007916CD" w:rsidRPr="003B33FD">
        <w:rPr>
          <w:rFonts w:ascii="Verdana" w:hAnsi="Verdana" w:cs="Arial"/>
        </w:rPr>
        <w:t>únicamente el volumen de agua</w:t>
      </w:r>
      <w:r w:rsidR="00E040B9" w:rsidRPr="003B33FD">
        <w:rPr>
          <w:rFonts w:ascii="Verdana" w:hAnsi="Verdana" w:cs="Arial"/>
        </w:rPr>
        <w:t xml:space="preserve"> y las </w:t>
      </w:r>
      <w:r w:rsidR="00896ABC" w:rsidRPr="003B33FD">
        <w:rPr>
          <w:rFonts w:ascii="Verdana" w:hAnsi="Verdana" w:cs="Arial"/>
        </w:rPr>
        <w:t>pérdidas</w:t>
      </w:r>
      <w:r w:rsidR="00E040B9" w:rsidRPr="003B33FD">
        <w:rPr>
          <w:rFonts w:ascii="Verdana" w:hAnsi="Verdana" w:cs="Arial"/>
        </w:rPr>
        <w:t xml:space="preserve"> aceptables</w:t>
      </w:r>
      <w:r w:rsidR="00896ABC" w:rsidRPr="003B33FD">
        <w:rPr>
          <w:rFonts w:ascii="Verdana" w:hAnsi="Verdana" w:cs="Arial"/>
        </w:rPr>
        <w:t xml:space="preserve"> de cada APS antes de la agregación</w:t>
      </w:r>
      <w:r w:rsidR="00417661" w:rsidRPr="003B33FD">
        <w:rPr>
          <w:rFonts w:ascii="Verdana" w:hAnsi="Verdana" w:cs="Arial"/>
        </w:rPr>
        <w:t>.</w:t>
      </w:r>
    </w:p>
    <w:p w14:paraId="51CF5087" w14:textId="77777777" w:rsidR="000157E7" w:rsidRPr="003B33FD" w:rsidRDefault="000157E7" w:rsidP="00602426">
      <w:pPr>
        <w:jc w:val="both"/>
        <w:rPr>
          <w:rFonts w:ascii="Verdana" w:hAnsi="Verdana" w:cs="Arial"/>
        </w:rPr>
      </w:pPr>
    </w:p>
    <w:p w14:paraId="5803CF27" w14:textId="179DC369" w:rsidR="000157E7" w:rsidRPr="003B33FD" w:rsidRDefault="000157E7"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En esquemas regionales con costos unificados en los que coexistan APS con condiciones especiales, tales como menor tamaño, PDET o ZOMAC, ¿cómo deben reflejarse las gradualidades diferenciadas y las sendas particulares de reducción de pérdidas de cada APS en la determinación del CCP unificado?</w:t>
      </w:r>
      <w:r w:rsidR="00135146" w:rsidRPr="003B33FD">
        <w:rPr>
          <w:rFonts w:ascii="Verdana" w:hAnsi="Verdana" w:cs="Arial"/>
          <w:b/>
          <w:bCs/>
          <w:i/>
          <w:iCs/>
        </w:rPr>
        <w:t xml:space="preserve"> </w:t>
      </w:r>
    </w:p>
    <w:p w14:paraId="2F87D237" w14:textId="77777777" w:rsidR="00096796" w:rsidRPr="003B33FD" w:rsidRDefault="001401EC" w:rsidP="002216E6">
      <w:pPr>
        <w:jc w:val="both"/>
        <w:rPr>
          <w:rFonts w:ascii="Verdana" w:hAnsi="Verdana" w:cs="Arial"/>
        </w:rPr>
      </w:pPr>
      <w:r w:rsidRPr="003B33FD">
        <w:rPr>
          <w:rFonts w:ascii="Verdana" w:hAnsi="Verdana" w:cs="Arial"/>
        </w:rPr>
        <w:lastRenderedPageBreak/>
        <w:t xml:space="preserve">En los esquemas regionales donde se opta por la unificación de costos, la determinación del Consumo Corregido por Pérdidas (CCP) unificado debe reflejar las realidades técnicas de cada territorio mediante un cálculo que respete las sendas particulares de reducción de pérdidas de cada APS </w:t>
      </w:r>
      <w:r w:rsidR="00E23E81" w:rsidRPr="003B33FD">
        <w:rPr>
          <w:rFonts w:ascii="Verdana" w:hAnsi="Verdana" w:cs="Arial"/>
        </w:rPr>
        <w:t>de m</w:t>
      </w:r>
      <w:r w:rsidR="001F224A" w:rsidRPr="003B33FD">
        <w:rPr>
          <w:rFonts w:ascii="Verdana" w:hAnsi="Verdana" w:cs="Arial"/>
        </w:rPr>
        <w:t xml:space="preserve">enor tamaño, </w:t>
      </w:r>
      <w:r w:rsidR="005F0F53" w:rsidRPr="003B33FD">
        <w:rPr>
          <w:rFonts w:ascii="Verdana" w:hAnsi="Verdana" w:cs="Arial"/>
        </w:rPr>
        <w:t>PDET</w:t>
      </w:r>
      <w:r w:rsidR="001F224A" w:rsidRPr="003B33FD">
        <w:rPr>
          <w:rFonts w:ascii="Verdana" w:hAnsi="Verdana" w:cs="Arial"/>
        </w:rPr>
        <w:t xml:space="preserve"> o ZOMAC</w:t>
      </w:r>
      <w:r w:rsidR="00E23E81" w:rsidRPr="003B33FD">
        <w:rPr>
          <w:rFonts w:ascii="Verdana" w:hAnsi="Verdana" w:cs="Arial"/>
        </w:rPr>
        <w:t xml:space="preserve">, antes de su agregación. </w:t>
      </w:r>
      <w:r w:rsidR="000845F8" w:rsidRPr="003B33FD">
        <w:rPr>
          <w:rFonts w:ascii="Verdana" w:hAnsi="Verdana" w:cs="Arial"/>
        </w:rPr>
        <w:t xml:space="preserve">El prestador </w:t>
      </w:r>
      <w:r w:rsidR="00C609BD" w:rsidRPr="003B33FD">
        <w:rPr>
          <w:rFonts w:ascii="Verdana" w:hAnsi="Verdana" w:cs="Arial"/>
        </w:rPr>
        <w:t>debe estimar el CCP de manera independiente para cada una de las APS objeto de unificación</w:t>
      </w:r>
      <w:r w:rsidR="007B507F" w:rsidRPr="003B33FD">
        <w:rPr>
          <w:rFonts w:ascii="Verdana" w:hAnsi="Verdana" w:cs="Arial"/>
        </w:rPr>
        <w:t xml:space="preserve">, </w:t>
      </w:r>
      <w:r w:rsidR="007E595F" w:rsidRPr="003B33FD">
        <w:rPr>
          <w:rFonts w:ascii="Verdana" w:hAnsi="Verdana" w:cs="Arial"/>
        </w:rPr>
        <w:t>se utiliza la fórmula del CCP</w:t>
      </w:r>
      <w:r w:rsidR="00DA39EA" w:rsidRPr="003B33FD">
        <w:rPr>
          <w:rFonts w:ascii="Verdana" w:hAnsi="Verdana" w:cs="Arial"/>
        </w:rPr>
        <w:t xml:space="preserve"> que</w:t>
      </w:r>
      <w:r w:rsidR="00624998" w:rsidRPr="003B33FD">
        <w:rPr>
          <w:rFonts w:ascii="Verdana" w:hAnsi="Verdana" w:cs="Arial"/>
        </w:rPr>
        <w:t xml:space="preserve"> se determina con el Índice de Agua Suministrada (ISUF) </w:t>
      </w:r>
      <w:r w:rsidR="003C16CD" w:rsidRPr="003B33FD">
        <w:rPr>
          <w:rFonts w:ascii="Verdana" w:hAnsi="Verdana" w:cs="Arial"/>
        </w:rPr>
        <w:t>y</w:t>
      </w:r>
      <w:r w:rsidR="00624998" w:rsidRPr="003B33FD">
        <w:rPr>
          <w:rFonts w:ascii="Verdana" w:hAnsi="Verdana" w:cs="Arial"/>
        </w:rPr>
        <w:t xml:space="preserve"> el estándar de pérdidas </w:t>
      </w:r>
      <w:r w:rsidR="00577223" w:rsidRPr="003B33FD">
        <w:rPr>
          <w:rFonts w:ascii="Verdana" w:hAnsi="Verdana" w:cs="Arial"/>
        </w:rPr>
        <w:t xml:space="preserve">(IPUF*) </w:t>
      </w:r>
      <w:r w:rsidR="00624998" w:rsidRPr="003B33FD">
        <w:rPr>
          <w:rFonts w:ascii="Verdana" w:hAnsi="Verdana" w:cs="Arial"/>
        </w:rPr>
        <w:t>específico</w:t>
      </w:r>
      <w:r w:rsidR="003F33B1" w:rsidRPr="003B33FD">
        <w:rPr>
          <w:rFonts w:ascii="Verdana" w:hAnsi="Verdana" w:cs="Arial"/>
        </w:rPr>
        <w:t>s</w:t>
      </w:r>
      <w:r w:rsidR="00624998" w:rsidRPr="003B33FD">
        <w:rPr>
          <w:rFonts w:ascii="Verdana" w:hAnsi="Verdana" w:cs="Arial"/>
        </w:rPr>
        <w:t xml:space="preserve"> de esa APS</w:t>
      </w:r>
      <w:r w:rsidR="008E1753" w:rsidRPr="003B33FD">
        <w:rPr>
          <w:rFonts w:ascii="Verdana" w:hAnsi="Verdana" w:cs="Arial"/>
        </w:rPr>
        <w:t xml:space="preserve">. </w:t>
      </w:r>
    </w:p>
    <w:p w14:paraId="57F37236" w14:textId="77777777" w:rsidR="00096796" w:rsidRPr="003B33FD" w:rsidRDefault="00096796" w:rsidP="002216E6">
      <w:pPr>
        <w:jc w:val="both"/>
        <w:rPr>
          <w:rFonts w:ascii="Verdana" w:hAnsi="Verdana" w:cs="Arial"/>
        </w:rPr>
      </w:pPr>
    </w:p>
    <w:p w14:paraId="24CC2DDA" w14:textId="0734FB72" w:rsidR="00703993" w:rsidRPr="003B33FD" w:rsidRDefault="00A75B15" w:rsidP="002216E6">
      <w:pPr>
        <w:jc w:val="both"/>
        <w:rPr>
          <w:rFonts w:ascii="Verdana" w:hAnsi="Verdana" w:cs="Arial"/>
        </w:rPr>
      </w:pPr>
      <w:r w:rsidRPr="003B33FD">
        <w:rPr>
          <w:rFonts w:ascii="Verdana" w:hAnsi="Verdana" w:cs="Arial"/>
        </w:rPr>
        <w:t xml:space="preserve">La regulación establece explícitamente que, cuando una APS cuenta con una condición especial, </w:t>
      </w:r>
      <w:r w:rsidR="00AA5998" w:rsidRPr="003B33FD">
        <w:rPr>
          <w:rFonts w:ascii="Verdana" w:hAnsi="Verdana" w:cs="Arial"/>
        </w:rPr>
        <w:t xml:space="preserve">esta </w:t>
      </w:r>
      <w:r w:rsidR="007B507F" w:rsidRPr="003B33FD">
        <w:rPr>
          <w:rFonts w:ascii="Verdana" w:hAnsi="Verdana" w:cs="Arial"/>
        </w:rPr>
        <w:t>prevalece sobre la del segmento, lo que permite reflejar las dificultades reales del territorio, asegurar equidad territorial y evitar imponer metas inalcanzables en zonas con rezagos estructurales</w:t>
      </w:r>
      <w:r w:rsidR="00E81403" w:rsidRPr="003B33FD">
        <w:rPr>
          <w:rFonts w:ascii="Verdana" w:hAnsi="Verdana" w:cs="Arial"/>
        </w:rPr>
        <w:t xml:space="preserve"> </w:t>
      </w:r>
      <w:r w:rsidR="0048072B" w:rsidRPr="003B33FD">
        <w:rPr>
          <w:rFonts w:ascii="Verdana" w:hAnsi="Verdana" w:cs="Arial"/>
        </w:rPr>
        <w:t>(</w:t>
      </w:r>
      <w:r w:rsidR="00E81403" w:rsidRPr="003B33FD">
        <w:rPr>
          <w:rFonts w:ascii="Verdana" w:hAnsi="Verdana" w:cs="Arial"/>
        </w:rPr>
        <w:t xml:space="preserve">artículo </w:t>
      </w:r>
      <w:r w:rsidR="0048072B" w:rsidRPr="003B33FD">
        <w:rPr>
          <w:rFonts w:ascii="Verdana" w:hAnsi="Verdana" w:cs="Arial"/>
        </w:rPr>
        <w:t>2.1.2.1.2.2.)</w:t>
      </w:r>
      <w:r w:rsidR="002956B4" w:rsidRPr="003B33FD">
        <w:rPr>
          <w:rFonts w:ascii="Verdana" w:hAnsi="Verdana" w:cs="Arial"/>
        </w:rPr>
        <w:t xml:space="preserve">. </w:t>
      </w:r>
      <w:r w:rsidR="00A66CC7" w:rsidRPr="003B33FD">
        <w:rPr>
          <w:rFonts w:ascii="Verdana" w:hAnsi="Verdana" w:cs="Arial"/>
        </w:rPr>
        <w:t xml:space="preserve">Las </w:t>
      </w:r>
      <w:r w:rsidR="002956B4" w:rsidRPr="003B33FD">
        <w:rPr>
          <w:rFonts w:ascii="Verdana" w:hAnsi="Verdana" w:cs="Arial"/>
        </w:rPr>
        <w:t xml:space="preserve">APS con </w:t>
      </w:r>
      <w:r w:rsidR="002216E6" w:rsidRPr="003B33FD">
        <w:rPr>
          <w:rFonts w:ascii="Verdana" w:hAnsi="Verdana" w:cs="Arial"/>
        </w:rPr>
        <w:t xml:space="preserve">estas </w:t>
      </w:r>
      <w:r w:rsidR="002956B4" w:rsidRPr="003B33FD">
        <w:rPr>
          <w:rFonts w:ascii="Verdana" w:hAnsi="Verdana" w:cs="Arial"/>
        </w:rPr>
        <w:t xml:space="preserve">condiciones especiales </w:t>
      </w:r>
      <w:r w:rsidR="002216E6" w:rsidRPr="003B33FD">
        <w:rPr>
          <w:rFonts w:ascii="Verdana" w:hAnsi="Verdana" w:cs="Arial"/>
        </w:rPr>
        <w:t xml:space="preserve">tendrán, a partir del periodo de inicio de aplicación de la metodología tarifaria definido en el artículo 2.1.2.1.1.8. de la </w:t>
      </w:r>
      <w:r w:rsidR="00EF0C1E" w:rsidRPr="003B33FD">
        <w:rPr>
          <w:rFonts w:ascii="Verdana" w:hAnsi="Verdana" w:cs="Arial"/>
        </w:rPr>
        <w:t xml:space="preserve">Resolución CRA </w:t>
      </w:r>
      <w:r w:rsidR="001863DD" w:rsidRPr="003B33FD">
        <w:rPr>
          <w:rFonts w:ascii="Verdana" w:hAnsi="Verdana" w:cs="Arial"/>
        </w:rPr>
        <w:t xml:space="preserve">943 de 2021, incorporado por la Resolución CRA </w:t>
      </w:r>
      <w:r w:rsidR="00EF0C1E" w:rsidRPr="003B33FD">
        <w:rPr>
          <w:rFonts w:ascii="Verdana" w:hAnsi="Verdana" w:cs="Arial"/>
        </w:rPr>
        <w:t>1032 de 2026</w:t>
      </w:r>
      <w:r w:rsidR="002216E6" w:rsidRPr="003B33FD">
        <w:rPr>
          <w:rFonts w:ascii="Verdana" w:hAnsi="Verdana" w:cs="Arial"/>
        </w:rPr>
        <w:t xml:space="preserve"> y para todos los años tarifarios un IPUF* de 6 m3/suscriptor/mes. </w:t>
      </w:r>
      <w:r w:rsidR="00703993" w:rsidRPr="003B33FD">
        <w:rPr>
          <w:rFonts w:ascii="Verdana" w:hAnsi="Verdana" w:cs="Arial"/>
        </w:rPr>
        <w:t>Con los CCP individuales se calcula</w:t>
      </w:r>
      <w:r w:rsidR="00A92F02" w:rsidRPr="003B33FD">
        <w:rPr>
          <w:rFonts w:ascii="Verdana" w:hAnsi="Verdana" w:cs="Arial"/>
        </w:rPr>
        <w:t xml:space="preserve"> </w:t>
      </w:r>
      <w:r w:rsidR="00703993" w:rsidRPr="003B33FD">
        <w:rPr>
          <w:rFonts w:ascii="Verdana" w:hAnsi="Verdana" w:cs="Arial"/>
        </w:rPr>
        <w:t>el CCP unificado mediante</w:t>
      </w:r>
      <w:r w:rsidR="00CB37F6" w:rsidRPr="003B33FD">
        <w:rPr>
          <w:rFonts w:ascii="Verdana" w:hAnsi="Verdana" w:cs="Arial"/>
        </w:rPr>
        <w:t xml:space="preserve"> una</w:t>
      </w:r>
      <w:r w:rsidR="00703993" w:rsidRPr="003B33FD">
        <w:rPr>
          <w:rFonts w:ascii="Verdana" w:hAnsi="Verdana" w:cs="Arial"/>
        </w:rPr>
        <w:t xml:space="preserve"> sumatoria simple de estos volúmenes</w:t>
      </w:r>
      <w:r w:rsidR="002B6FB8" w:rsidRPr="003B33FD">
        <w:rPr>
          <w:rFonts w:ascii="Verdana" w:hAnsi="Verdana" w:cs="Arial"/>
        </w:rPr>
        <w:t>.</w:t>
      </w:r>
    </w:p>
    <w:p w14:paraId="0586DD6F" w14:textId="77777777" w:rsidR="00325DB7" w:rsidRPr="003B33FD" w:rsidRDefault="00325DB7" w:rsidP="00602426">
      <w:pPr>
        <w:jc w:val="both"/>
        <w:rPr>
          <w:rFonts w:ascii="Verdana" w:hAnsi="Verdana" w:cs="Arial"/>
        </w:rPr>
      </w:pPr>
    </w:p>
    <w:p w14:paraId="4DDD2E3D" w14:textId="42019E72" w:rsidR="00B85BCD" w:rsidRPr="003B33FD" w:rsidRDefault="00B85BCD" w:rsidP="007544B4">
      <w:pPr>
        <w:pStyle w:val="Prrafodelista"/>
        <w:numPr>
          <w:ilvl w:val="0"/>
          <w:numId w:val="9"/>
        </w:numPr>
        <w:ind w:left="567" w:hanging="283"/>
        <w:jc w:val="both"/>
        <w:rPr>
          <w:rFonts w:ascii="Verdana" w:hAnsi="Verdana" w:cs="Arial"/>
          <w:b/>
          <w:bCs/>
          <w:i/>
          <w:iCs/>
        </w:rPr>
      </w:pPr>
      <w:r w:rsidRPr="003B33FD">
        <w:rPr>
          <w:rFonts w:ascii="Verdana" w:hAnsi="Verdana" w:cs="Arial"/>
          <w:b/>
          <w:bCs/>
          <w:i/>
          <w:iCs/>
        </w:rPr>
        <w:t>Evaluación del cumplimiento del IPUF frente a diferencias relativas entre valores planeados y reales</w:t>
      </w:r>
    </w:p>
    <w:p w14:paraId="779C1BCE" w14:textId="77777777" w:rsidR="00B85BCD" w:rsidRPr="003B33FD" w:rsidRDefault="00B85BCD" w:rsidP="0095385F">
      <w:pPr>
        <w:ind w:left="284"/>
        <w:jc w:val="both"/>
        <w:rPr>
          <w:rFonts w:ascii="Verdana" w:hAnsi="Verdana" w:cs="Arial"/>
          <w:b/>
          <w:bCs/>
          <w:i/>
          <w:iCs/>
        </w:rPr>
      </w:pPr>
    </w:p>
    <w:p w14:paraId="069D81CA" w14:textId="388E6E22" w:rsidR="00D86B24" w:rsidRPr="003B33FD" w:rsidRDefault="00D86B24"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correcto entender que el umbral del 20% previsto en el literal C del</w:t>
      </w:r>
      <w:r w:rsidR="00D03A1F" w:rsidRPr="003B33FD">
        <w:rPr>
          <w:rFonts w:ascii="Verdana" w:hAnsi="Verdana" w:cs="Arial"/>
          <w:b/>
          <w:bCs/>
          <w:i/>
          <w:iCs/>
        </w:rPr>
        <w:t xml:space="preserve"> </w:t>
      </w:r>
      <w:r w:rsidRPr="003B33FD">
        <w:rPr>
          <w:rFonts w:ascii="Verdana" w:hAnsi="Verdana" w:cs="Arial"/>
          <w:b/>
          <w:bCs/>
          <w:i/>
          <w:iCs/>
        </w:rPr>
        <w:t>numeral 4 del parágrafo 3 del artículo 2.1.2.1.3.3.1 de la Resolución CRA</w:t>
      </w:r>
      <w:r w:rsidR="00D03A1F" w:rsidRPr="003B33FD">
        <w:rPr>
          <w:rFonts w:ascii="Verdana" w:hAnsi="Verdana" w:cs="Arial"/>
          <w:b/>
          <w:bCs/>
          <w:i/>
          <w:iCs/>
        </w:rPr>
        <w:t xml:space="preserve"> </w:t>
      </w:r>
      <w:r w:rsidRPr="003B33FD">
        <w:rPr>
          <w:rFonts w:ascii="Verdana" w:hAnsi="Verdana" w:cs="Arial"/>
          <w:b/>
          <w:bCs/>
          <w:i/>
          <w:iCs/>
        </w:rPr>
        <w:t>1032 de 2026 aplica únicamente cuando el IPUF real sea mayor que el IPUF</w:t>
      </w:r>
      <w:r w:rsidR="00D03A1F" w:rsidRPr="003B33FD">
        <w:rPr>
          <w:rFonts w:ascii="Verdana" w:hAnsi="Verdana" w:cs="Arial"/>
          <w:b/>
          <w:bCs/>
          <w:i/>
          <w:iCs/>
        </w:rPr>
        <w:t xml:space="preserve"> </w:t>
      </w:r>
      <w:r w:rsidRPr="003B33FD">
        <w:rPr>
          <w:rFonts w:ascii="Verdana" w:hAnsi="Verdana" w:cs="Arial"/>
          <w:b/>
          <w:bCs/>
          <w:i/>
          <w:iCs/>
        </w:rPr>
        <w:t>planeado?</w:t>
      </w:r>
    </w:p>
    <w:p w14:paraId="13FD33D4" w14:textId="77777777" w:rsidR="00D86B24" w:rsidRPr="003B33FD" w:rsidRDefault="00D86B24" w:rsidP="0095385F">
      <w:pPr>
        <w:ind w:left="284"/>
        <w:jc w:val="both"/>
        <w:rPr>
          <w:rFonts w:ascii="Verdana" w:hAnsi="Verdana" w:cs="Arial"/>
          <w:b/>
          <w:bCs/>
          <w:i/>
          <w:iCs/>
        </w:rPr>
      </w:pPr>
    </w:p>
    <w:p w14:paraId="24CB5D2B" w14:textId="3DF94785" w:rsidR="00A80B04" w:rsidRPr="003B33FD" w:rsidRDefault="00036837" w:rsidP="009F5619">
      <w:pPr>
        <w:jc w:val="both"/>
        <w:rPr>
          <w:rFonts w:ascii="Verdana" w:hAnsi="Verdana" w:cs="Arial"/>
        </w:rPr>
      </w:pPr>
      <w:r w:rsidRPr="003B33FD">
        <w:rPr>
          <w:rFonts w:ascii="Verdana" w:hAnsi="Verdana" w:cs="Arial"/>
        </w:rPr>
        <w:t>En</w:t>
      </w:r>
      <w:r w:rsidR="009F5619" w:rsidRPr="003B33FD">
        <w:rPr>
          <w:rFonts w:ascii="Verdana" w:hAnsi="Verdana" w:cs="Arial"/>
        </w:rPr>
        <w:t xml:space="preserve"> la Resolución CRA 1032 de 2026, </w:t>
      </w:r>
      <w:r w:rsidR="00C205E5" w:rsidRPr="003B33FD">
        <w:rPr>
          <w:rFonts w:ascii="Verdana" w:hAnsi="Verdana" w:cs="Arial"/>
        </w:rPr>
        <w:t>para</w:t>
      </w:r>
      <w:r w:rsidR="004E1091" w:rsidRPr="003B33FD">
        <w:rPr>
          <w:rFonts w:ascii="Verdana" w:hAnsi="Verdana" w:cs="Arial"/>
        </w:rPr>
        <w:t xml:space="preserve"> optar </w:t>
      </w:r>
      <w:r w:rsidR="00046780" w:rsidRPr="003B33FD">
        <w:rPr>
          <w:rFonts w:ascii="Verdana" w:hAnsi="Verdana" w:cs="Arial"/>
        </w:rPr>
        <w:t>por el cálculo del</w:t>
      </w:r>
      <w:r w:rsidR="004A1A48" w:rsidRPr="003B33FD">
        <w:rPr>
          <w:rFonts w:ascii="Verdana" w:hAnsi="Verdana" w:cs="Arial"/>
        </w:rPr>
        <w:t xml:space="preserve"> CCP a partir del</w:t>
      </w:r>
      <w:r w:rsidR="00046780" w:rsidRPr="003B33FD">
        <w:rPr>
          <w:rFonts w:ascii="Verdana" w:hAnsi="Verdana" w:cs="Arial"/>
        </w:rPr>
        <w:t xml:space="preserve"> </w:t>
      </w:r>
      <w:r w:rsidR="004E1091" w:rsidRPr="003B33FD">
        <w:rPr>
          <w:rFonts w:ascii="Verdana" w:hAnsi="Verdana" w:cs="Arial"/>
        </w:rPr>
        <w:t>Índice de agua suministrada por suscriptor facturado ajustado</w:t>
      </w:r>
      <w:r w:rsidR="00046780" w:rsidRPr="003B33FD">
        <w:rPr>
          <w:rFonts w:ascii="Verdana" w:hAnsi="Verdana" w:cs="Arial"/>
        </w:rPr>
        <w:t>-ISUF</w:t>
      </w:r>
      <w:r w:rsidR="00046780" w:rsidRPr="003B33FD">
        <w:rPr>
          <w:rFonts w:ascii="Verdana" w:hAnsi="Verdana" w:cs="Arial"/>
          <w:vertAlign w:val="subscript"/>
        </w:rPr>
        <w:t>AJUSTA</w:t>
      </w:r>
      <w:r w:rsidR="00036FD2" w:rsidRPr="003B33FD">
        <w:rPr>
          <w:rFonts w:ascii="Verdana" w:hAnsi="Verdana" w:cs="Arial"/>
          <w:vertAlign w:val="subscript"/>
        </w:rPr>
        <w:t>DO</w:t>
      </w:r>
      <w:r w:rsidR="00036FD2" w:rsidRPr="003B33FD">
        <w:rPr>
          <w:rFonts w:ascii="Verdana" w:hAnsi="Verdana" w:cs="Arial"/>
        </w:rPr>
        <w:t xml:space="preserve">, </w:t>
      </w:r>
      <w:r w:rsidR="0085574D" w:rsidRPr="003B33FD">
        <w:rPr>
          <w:rFonts w:ascii="Verdana" w:hAnsi="Verdana" w:cs="Arial"/>
        </w:rPr>
        <w:t xml:space="preserve">se debe haber cumplido con </w:t>
      </w:r>
      <w:r w:rsidR="00C205E5" w:rsidRPr="003B33FD">
        <w:rPr>
          <w:rFonts w:ascii="Verdana" w:hAnsi="Verdana" w:cs="Arial"/>
        </w:rPr>
        <w:t>el indicador de pérdidas</w:t>
      </w:r>
      <w:r w:rsidR="004020A3" w:rsidRPr="003B33FD">
        <w:rPr>
          <w:rFonts w:ascii="Verdana" w:hAnsi="Verdana" w:cs="Arial"/>
        </w:rPr>
        <w:t>-</w:t>
      </w:r>
      <w:r w:rsidR="00C205E5" w:rsidRPr="003B33FD">
        <w:rPr>
          <w:rFonts w:ascii="Verdana" w:hAnsi="Verdana" w:cs="Arial"/>
        </w:rPr>
        <w:t>IPUF</w:t>
      </w:r>
      <w:r w:rsidR="004020A3" w:rsidRPr="003B33FD">
        <w:rPr>
          <w:rFonts w:ascii="Verdana" w:hAnsi="Verdana" w:cs="Arial"/>
        </w:rPr>
        <w:t xml:space="preserve"> planeado en aplicación de la Resolución CRA 688 de 2014</w:t>
      </w:r>
      <w:r w:rsidR="00BB511F" w:rsidRPr="003B33FD">
        <w:rPr>
          <w:rFonts w:ascii="Verdana" w:hAnsi="Verdana" w:cs="Arial"/>
        </w:rPr>
        <w:t>,</w:t>
      </w:r>
      <w:r w:rsidR="004020A3" w:rsidRPr="003B33FD">
        <w:rPr>
          <w:rFonts w:ascii="Verdana" w:hAnsi="Verdana" w:cs="Arial"/>
        </w:rPr>
        <w:t xml:space="preserve"> </w:t>
      </w:r>
      <w:r w:rsidR="00CD5E92" w:rsidRPr="003B33FD">
        <w:rPr>
          <w:rFonts w:ascii="Verdana" w:hAnsi="Verdana" w:cs="Arial"/>
        </w:rPr>
        <w:t xml:space="preserve">y </w:t>
      </w:r>
      <w:r w:rsidR="00D64F07" w:rsidRPr="003B33FD">
        <w:rPr>
          <w:rFonts w:ascii="Verdana" w:hAnsi="Verdana" w:cs="Arial"/>
        </w:rPr>
        <w:t xml:space="preserve">se </w:t>
      </w:r>
      <w:r w:rsidR="004872A2" w:rsidRPr="003B33FD">
        <w:rPr>
          <w:rFonts w:ascii="Verdana" w:hAnsi="Verdana" w:cs="Arial"/>
        </w:rPr>
        <w:t>acepta como cumplid</w:t>
      </w:r>
      <w:r w:rsidR="00096796" w:rsidRPr="003B33FD">
        <w:rPr>
          <w:rFonts w:ascii="Verdana" w:hAnsi="Verdana" w:cs="Arial"/>
        </w:rPr>
        <w:t>o</w:t>
      </w:r>
      <w:r w:rsidR="004872A2" w:rsidRPr="003B33FD">
        <w:rPr>
          <w:rFonts w:ascii="Verdana" w:hAnsi="Verdana" w:cs="Arial"/>
        </w:rPr>
        <w:t xml:space="preserve"> cuando </w:t>
      </w:r>
      <w:r w:rsidR="001F1C28" w:rsidRPr="003B33FD">
        <w:rPr>
          <w:rFonts w:ascii="Verdana" w:hAnsi="Verdana" w:cs="Arial"/>
        </w:rPr>
        <w:t xml:space="preserve">la diferencia entre el valor del IPUF planeado en aplicación de la Resolución CRA 688 de 2014 y el IPUF real del periodo comprendido entre el 1 de julio de 2024 y el 30 de junio del 2025 </w:t>
      </w:r>
      <w:r w:rsidR="004872A2" w:rsidRPr="003B33FD">
        <w:rPr>
          <w:rFonts w:ascii="Verdana" w:hAnsi="Verdana" w:cs="Arial"/>
        </w:rPr>
        <w:t>es</w:t>
      </w:r>
      <w:r w:rsidR="00FD679E" w:rsidRPr="003B33FD">
        <w:rPr>
          <w:rFonts w:ascii="Verdana" w:hAnsi="Verdana" w:cs="Arial"/>
        </w:rPr>
        <w:t xml:space="preserve"> igual o menor al 20% </w:t>
      </w:r>
      <w:r w:rsidR="00277548" w:rsidRPr="003B33FD">
        <w:rPr>
          <w:rFonts w:ascii="Verdana" w:hAnsi="Verdana" w:cs="Arial"/>
        </w:rPr>
        <w:t>(</w:t>
      </w:r>
      <w:r w:rsidR="00452FB7" w:rsidRPr="003B33FD">
        <w:rPr>
          <w:rFonts w:ascii="Verdana" w:hAnsi="Verdana" w:cs="Arial"/>
        </w:rPr>
        <w:t>literal C del numeral 4</w:t>
      </w:r>
      <w:r w:rsidR="00C608B6" w:rsidRPr="003B33FD">
        <w:rPr>
          <w:rFonts w:ascii="Verdana" w:hAnsi="Verdana" w:cs="Arial"/>
        </w:rPr>
        <w:t xml:space="preserve"> del </w:t>
      </w:r>
      <w:r w:rsidR="00277548" w:rsidRPr="003B33FD">
        <w:rPr>
          <w:rFonts w:ascii="Verdana" w:hAnsi="Verdana" w:cs="Arial"/>
        </w:rPr>
        <w:t>parágrafo 3 del art</w:t>
      </w:r>
      <w:r w:rsidR="00095AF4" w:rsidRPr="003B33FD">
        <w:rPr>
          <w:rFonts w:ascii="Verdana" w:hAnsi="Verdana" w:cs="Arial"/>
        </w:rPr>
        <w:t>í</w:t>
      </w:r>
      <w:r w:rsidR="00277548" w:rsidRPr="003B33FD">
        <w:rPr>
          <w:rFonts w:ascii="Verdana" w:hAnsi="Verdana" w:cs="Arial"/>
        </w:rPr>
        <w:t xml:space="preserve">culo </w:t>
      </w:r>
      <w:r w:rsidR="00095AF4" w:rsidRPr="003B33FD">
        <w:rPr>
          <w:rFonts w:ascii="Verdana" w:hAnsi="Verdana" w:cs="Arial"/>
        </w:rPr>
        <w:t>2.1.2.1.3.3.1</w:t>
      </w:r>
      <w:r w:rsidR="00FD679E" w:rsidRPr="003B33FD">
        <w:rPr>
          <w:rFonts w:ascii="Verdana" w:hAnsi="Verdana" w:cs="Arial"/>
        </w:rPr>
        <w:t>.</w:t>
      </w:r>
      <w:r w:rsidR="00095AF4" w:rsidRPr="003B33FD">
        <w:rPr>
          <w:rFonts w:ascii="Verdana" w:hAnsi="Verdana" w:cs="Arial"/>
        </w:rPr>
        <w:t xml:space="preserve"> de la Res</w:t>
      </w:r>
      <w:r w:rsidR="001863DD" w:rsidRPr="003B33FD">
        <w:rPr>
          <w:rFonts w:ascii="Verdana" w:hAnsi="Verdana" w:cs="Arial"/>
        </w:rPr>
        <w:t>olución CRA 943 de 2021, incorporado por la Resolución</w:t>
      </w:r>
      <w:r w:rsidR="00095AF4" w:rsidRPr="003B33FD">
        <w:rPr>
          <w:rFonts w:ascii="Verdana" w:hAnsi="Verdana" w:cs="Arial"/>
        </w:rPr>
        <w:t xml:space="preserve"> CRA 1032 de 2026)</w:t>
      </w:r>
      <w:r w:rsidR="000B1356" w:rsidRPr="003B33FD">
        <w:rPr>
          <w:rFonts w:ascii="Verdana" w:hAnsi="Verdana" w:cs="Arial"/>
        </w:rPr>
        <w:t xml:space="preserve">. </w:t>
      </w:r>
    </w:p>
    <w:p w14:paraId="351CACA2" w14:textId="77777777" w:rsidR="00A80B04" w:rsidRPr="003B33FD" w:rsidRDefault="00A80B04" w:rsidP="009F5619">
      <w:pPr>
        <w:jc w:val="both"/>
        <w:rPr>
          <w:rFonts w:ascii="Verdana" w:hAnsi="Verdana" w:cs="Arial"/>
        </w:rPr>
      </w:pPr>
    </w:p>
    <w:p w14:paraId="7DA99EED" w14:textId="406B58CC" w:rsidR="004027BF" w:rsidRPr="003B33FD" w:rsidRDefault="000B1356" w:rsidP="00E521B7">
      <w:pPr>
        <w:jc w:val="both"/>
        <w:rPr>
          <w:rFonts w:ascii="Verdana" w:hAnsi="Verdana" w:cs="Arial"/>
        </w:rPr>
      </w:pPr>
      <w:r w:rsidRPr="003B33FD">
        <w:rPr>
          <w:rFonts w:ascii="Verdana" w:hAnsi="Verdana" w:cs="Arial"/>
        </w:rPr>
        <w:t xml:space="preserve">En </w:t>
      </w:r>
      <w:r w:rsidR="00350477" w:rsidRPr="003B33FD">
        <w:rPr>
          <w:rFonts w:ascii="Verdana" w:hAnsi="Verdana" w:cs="Arial"/>
        </w:rPr>
        <w:t>el</w:t>
      </w:r>
      <w:r w:rsidR="00A80B04" w:rsidRPr="003B33FD">
        <w:rPr>
          <w:rFonts w:ascii="Verdana" w:hAnsi="Verdana" w:cs="Arial"/>
        </w:rPr>
        <w:t xml:space="preserve"> </w:t>
      </w:r>
      <w:r w:rsidR="009F5619" w:rsidRPr="003B33FD">
        <w:rPr>
          <w:rFonts w:ascii="Verdana" w:hAnsi="Verdana" w:cs="Arial"/>
        </w:rPr>
        <w:t>marco regula</w:t>
      </w:r>
      <w:r w:rsidR="00A80B04" w:rsidRPr="003B33FD">
        <w:rPr>
          <w:rFonts w:ascii="Verdana" w:hAnsi="Verdana" w:cs="Arial"/>
        </w:rPr>
        <w:t>torio</w:t>
      </w:r>
      <w:r w:rsidR="009F5619" w:rsidRPr="003B33FD">
        <w:rPr>
          <w:rFonts w:ascii="Verdana" w:hAnsi="Verdana" w:cs="Arial"/>
        </w:rPr>
        <w:t xml:space="preserve"> de</w:t>
      </w:r>
      <w:r w:rsidR="00350477" w:rsidRPr="003B33FD">
        <w:rPr>
          <w:rFonts w:ascii="Verdana" w:hAnsi="Verdana" w:cs="Arial"/>
        </w:rPr>
        <w:t xml:space="preserve"> los</w:t>
      </w:r>
      <w:r w:rsidR="009F5619" w:rsidRPr="003B33FD">
        <w:rPr>
          <w:rFonts w:ascii="Verdana" w:hAnsi="Verdana" w:cs="Arial"/>
        </w:rPr>
        <w:t xml:space="preserve"> servicios públicos</w:t>
      </w:r>
      <w:r w:rsidR="00350477" w:rsidRPr="003B33FD">
        <w:rPr>
          <w:rFonts w:ascii="Verdana" w:hAnsi="Verdana" w:cs="Arial"/>
        </w:rPr>
        <w:t xml:space="preserve"> de acueducto y alcantarillado</w:t>
      </w:r>
      <w:r w:rsidR="009F5619" w:rsidRPr="003B33FD">
        <w:rPr>
          <w:rFonts w:ascii="Verdana" w:hAnsi="Verdana" w:cs="Arial"/>
        </w:rPr>
        <w:t>, el cumplimiento de una meta de reducción</w:t>
      </w:r>
      <w:r w:rsidR="00F77B22" w:rsidRPr="003B33FD">
        <w:rPr>
          <w:rFonts w:ascii="Verdana" w:hAnsi="Verdana" w:cs="Arial"/>
        </w:rPr>
        <w:t xml:space="preserve"> </w:t>
      </w:r>
      <w:r w:rsidR="009F5619" w:rsidRPr="003B33FD">
        <w:rPr>
          <w:rFonts w:ascii="Verdana" w:hAnsi="Verdana" w:cs="Arial"/>
        </w:rPr>
        <w:t xml:space="preserve">de pérdidas se valida cuando el resultado </w:t>
      </w:r>
      <w:r w:rsidR="009F5619" w:rsidRPr="003B33FD">
        <w:rPr>
          <w:rFonts w:ascii="Verdana" w:hAnsi="Verdana" w:cs="Arial"/>
        </w:rPr>
        <w:lastRenderedPageBreak/>
        <w:t>real es mejor que el proyectado</w:t>
      </w:r>
      <w:r w:rsidR="00F77B22" w:rsidRPr="003B33FD">
        <w:rPr>
          <w:rFonts w:ascii="Verdana" w:hAnsi="Verdana" w:cs="Arial"/>
        </w:rPr>
        <w:t xml:space="preserve"> </w:t>
      </w:r>
      <w:r w:rsidR="009F5619" w:rsidRPr="003B33FD">
        <w:rPr>
          <w:rFonts w:ascii="Verdana" w:hAnsi="Verdana" w:cs="Arial"/>
        </w:rPr>
        <w:t>(es decir, cuando las pérdidas son menores a las planeadas)</w:t>
      </w:r>
      <w:r w:rsidR="00E521B7" w:rsidRPr="003B33FD">
        <w:rPr>
          <w:rFonts w:ascii="Verdana" w:hAnsi="Verdana" w:cs="Arial"/>
        </w:rPr>
        <w:t xml:space="preserve"> y e</w:t>
      </w:r>
      <w:r w:rsidR="009F5619" w:rsidRPr="003B33FD">
        <w:rPr>
          <w:rFonts w:ascii="Verdana" w:hAnsi="Verdana" w:cs="Arial"/>
        </w:rPr>
        <w:t xml:space="preserve">l objetivo del Plan de Reducción de Pérdidas es alcanzar niveles de eficiencia cada vez mayores, por lo </w:t>
      </w:r>
      <w:r w:rsidR="00730E6E" w:rsidRPr="003B33FD">
        <w:rPr>
          <w:rFonts w:ascii="Verdana" w:hAnsi="Verdana" w:cs="Arial"/>
        </w:rPr>
        <w:t>tanto</w:t>
      </w:r>
      <w:r w:rsidR="004027BF" w:rsidRPr="003B33FD">
        <w:rPr>
          <w:rFonts w:ascii="Verdana" w:hAnsi="Verdana" w:cs="Arial"/>
        </w:rPr>
        <w:t>,</w:t>
      </w:r>
      <w:r w:rsidR="00730E6E" w:rsidRPr="003B33FD">
        <w:rPr>
          <w:rFonts w:ascii="Verdana" w:hAnsi="Verdana" w:cs="Arial"/>
        </w:rPr>
        <w:t xml:space="preserve"> </w:t>
      </w:r>
      <w:r w:rsidR="009F5619" w:rsidRPr="003B33FD">
        <w:rPr>
          <w:rFonts w:ascii="Verdana" w:hAnsi="Verdana" w:cs="Arial"/>
        </w:rPr>
        <w:t xml:space="preserve">lograr un IPUF real menor al </w:t>
      </w:r>
      <w:r w:rsidR="00730E6E" w:rsidRPr="003B33FD">
        <w:rPr>
          <w:rFonts w:ascii="Verdana" w:hAnsi="Verdana" w:cs="Arial"/>
        </w:rPr>
        <w:t xml:space="preserve">IPUF </w:t>
      </w:r>
      <w:r w:rsidR="009F5619" w:rsidRPr="003B33FD">
        <w:rPr>
          <w:rFonts w:ascii="Verdana" w:hAnsi="Verdana" w:cs="Arial"/>
        </w:rPr>
        <w:t>planeado</w:t>
      </w:r>
      <w:r w:rsidR="00730E6E" w:rsidRPr="003B33FD">
        <w:rPr>
          <w:rFonts w:ascii="Verdana" w:hAnsi="Verdana" w:cs="Arial"/>
        </w:rPr>
        <w:t xml:space="preserve"> </w:t>
      </w:r>
      <w:r w:rsidR="009F5619" w:rsidRPr="003B33FD">
        <w:rPr>
          <w:rFonts w:ascii="Verdana" w:hAnsi="Verdana" w:cs="Arial"/>
        </w:rPr>
        <w:t>es</w:t>
      </w:r>
      <w:r w:rsidR="009F5829" w:rsidRPr="003B33FD">
        <w:rPr>
          <w:rFonts w:ascii="Verdana" w:hAnsi="Verdana" w:cs="Arial"/>
        </w:rPr>
        <w:t xml:space="preserve"> </w:t>
      </w:r>
      <w:r w:rsidR="00343F58" w:rsidRPr="003B33FD">
        <w:rPr>
          <w:rFonts w:ascii="Verdana" w:hAnsi="Verdana" w:cs="Arial"/>
        </w:rPr>
        <w:t>un</w:t>
      </w:r>
      <w:r w:rsidR="009F5619" w:rsidRPr="003B33FD">
        <w:rPr>
          <w:rFonts w:ascii="Verdana" w:hAnsi="Verdana" w:cs="Arial"/>
        </w:rPr>
        <w:t xml:space="preserve"> cumplimiento</w:t>
      </w:r>
      <w:r w:rsidR="0041493D" w:rsidRPr="003B33FD">
        <w:rPr>
          <w:rFonts w:ascii="Verdana" w:hAnsi="Verdana" w:cs="Arial"/>
        </w:rPr>
        <w:t xml:space="preserve"> </w:t>
      </w:r>
      <w:r w:rsidR="00B21894" w:rsidRPr="003B33FD">
        <w:rPr>
          <w:rFonts w:ascii="Verdana" w:hAnsi="Verdana" w:cs="Arial"/>
        </w:rPr>
        <w:t>por desempeño superior</w:t>
      </w:r>
      <w:r w:rsidR="0041493D" w:rsidRPr="003B33FD">
        <w:rPr>
          <w:rFonts w:ascii="Verdana" w:hAnsi="Verdana" w:cs="Arial"/>
        </w:rPr>
        <w:t>.</w:t>
      </w:r>
      <w:r w:rsidR="00433C0C" w:rsidRPr="003B33FD">
        <w:rPr>
          <w:rFonts w:ascii="Verdana" w:hAnsi="Verdana" w:cs="Arial"/>
        </w:rPr>
        <w:t xml:space="preserve"> </w:t>
      </w:r>
    </w:p>
    <w:p w14:paraId="760393A1" w14:textId="77777777" w:rsidR="004027BF" w:rsidRPr="003B33FD" w:rsidRDefault="004027BF" w:rsidP="00E521B7">
      <w:pPr>
        <w:jc w:val="both"/>
        <w:rPr>
          <w:rFonts w:ascii="Verdana" w:hAnsi="Verdana" w:cs="Arial"/>
        </w:rPr>
      </w:pPr>
    </w:p>
    <w:p w14:paraId="4D8E4F77" w14:textId="52650F6E" w:rsidR="009F5619" w:rsidRPr="003B33FD" w:rsidRDefault="00011858" w:rsidP="00D53FEE">
      <w:pPr>
        <w:jc w:val="both"/>
        <w:rPr>
          <w:rFonts w:ascii="Verdana" w:hAnsi="Verdana" w:cs="Arial"/>
        </w:rPr>
      </w:pPr>
      <w:r w:rsidRPr="003B33FD">
        <w:rPr>
          <w:rFonts w:ascii="Verdana" w:hAnsi="Verdana" w:cs="Arial"/>
        </w:rPr>
        <w:t>C</w:t>
      </w:r>
      <w:r w:rsidR="001466A8" w:rsidRPr="003B33FD">
        <w:rPr>
          <w:rFonts w:ascii="Verdana" w:hAnsi="Verdana" w:cs="Arial"/>
        </w:rPr>
        <w:t xml:space="preserve">on el fin de </w:t>
      </w:r>
      <w:r w:rsidR="001E2444" w:rsidRPr="003B33FD">
        <w:rPr>
          <w:rFonts w:ascii="Verdana" w:hAnsi="Verdana" w:cs="Arial"/>
        </w:rPr>
        <w:t xml:space="preserve">dar claridad a la redacción del citado parágrafo, </w:t>
      </w:r>
      <w:r w:rsidR="00B04DBF" w:rsidRPr="003B33FD">
        <w:rPr>
          <w:rFonts w:ascii="Verdana" w:hAnsi="Verdana" w:cs="Arial"/>
        </w:rPr>
        <w:t>esta Comisión</w:t>
      </w:r>
      <w:r w:rsidR="00D53FEE" w:rsidRPr="003B33FD">
        <w:rPr>
          <w:rFonts w:ascii="Verdana" w:hAnsi="Verdana" w:cs="Arial"/>
        </w:rPr>
        <w:t xml:space="preserve"> </w:t>
      </w:r>
      <w:r w:rsidR="00042C2C" w:rsidRPr="003B33FD">
        <w:rPr>
          <w:rFonts w:ascii="Verdana" w:hAnsi="Verdana" w:cs="Arial"/>
        </w:rPr>
        <w:t xml:space="preserve">revisará la pertinencia de dejar de manera </w:t>
      </w:r>
      <w:r w:rsidR="009F5619" w:rsidRPr="003B33FD">
        <w:rPr>
          <w:rFonts w:ascii="Verdana" w:hAnsi="Verdana" w:cs="Arial"/>
        </w:rPr>
        <w:t>explícita que el 20% es una</w:t>
      </w:r>
      <w:r w:rsidR="0095545F" w:rsidRPr="003B33FD">
        <w:rPr>
          <w:rFonts w:ascii="Verdana" w:hAnsi="Verdana" w:cs="Arial"/>
        </w:rPr>
        <w:t xml:space="preserve"> </w:t>
      </w:r>
      <w:r w:rsidR="009F5619" w:rsidRPr="003B33FD">
        <w:rPr>
          <w:rFonts w:ascii="Verdana" w:hAnsi="Verdana" w:cs="Arial"/>
        </w:rPr>
        <w:t>tolerancia aplicable exclusivamente cuando el IPUF real excede al</w:t>
      </w:r>
      <w:r w:rsidR="00E53849" w:rsidRPr="003B33FD">
        <w:rPr>
          <w:rFonts w:ascii="Verdana" w:hAnsi="Verdana" w:cs="Arial"/>
        </w:rPr>
        <w:t xml:space="preserve"> IPUF</w:t>
      </w:r>
      <w:r w:rsidR="009F5619" w:rsidRPr="003B33FD">
        <w:rPr>
          <w:rFonts w:ascii="Verdana" w:hAnsi="Verdana" w:cs="Arial"/>
        </w:rPr>
        <w:t xml:space="preserve"> planeado.</w:t>
      </w:r>
      <w:r w:rsidR="003D1D72" w:rsidRPr="003B33FD">
        <w:rPr>
          <w:rFonts w:ascii="Verdana" w:hAnsi="Verdana" w:cs="Arial"/>
        </w:rPr>
        <w:t xml:space="preserve"> Lo anterior, en un acto administrativo de igual jerarquía.</w:t>
      </w:r>
    </w:p>
    <w:p w14:paraId="318E343F" w14:textId="77777777" w:rsidR="0095545F" w:rsidRPr="003B33FD" w:rsidRDefault="0095545F" w:rsidP="009F5619">
      <w:pPr>
        <w:jc w:val="both"/>
        <w:rPr>
          <w:rFonts w:ascii="Verdana" w:hAnsi="Verdana" w:cs="Arial"/>
        </w:rPr>
      </w:pPr>
    </w:p>
    <w:p w14:paraId="223FFDF5" w14:textId="1E04AFE8" w:rsidR="004109C1" w:rsidRPr="003B33FD" w:rsidRDefault="00E810B0" w:rsidP="00256C19">
      <w:pPr>
        <w:pStyle w:val="Prrafodelista"/>
        <w:numPr>
          <w:ilvl w:val="0"/>
          <w:numId w:val="9"/>
        </w:numPr>
        <w:ind w:left="567" w:hanging="283"/>
        <w:jc w:val="both"/>
        <w:rPr>
          <w:rFonts w:ascii="Verdana" w:hAnsi="Verdana" w:cs="Arial"/>
          <w:b/>
          <w:bCs/>
          <w:i/>
          <w:iCs/>
        </w:rPr>
      </w:pPr>
      <w:r w:rsidRPr="003B33FD">
        <w:rPr>
          <w:rFonts w:ascii="Verdana" w:hAnsi="Verdana" w:cs="Arial"/>
          <w:b/>
          <w:bCs/>
          <w:i/>
          <w:iCs/>
        </w:rPr>
        <w:t>Reconocimiento de los costos ambientales y de gestión del riesgo</w:t>
      </w:r>
    </w:p>
    <w:p w14:paraId="3A30E0B0" w14:textId="77777777" w:rsidR="004109C1" w:rsidRPr="003B33FD" w:rsidRDefault="004109C1" w:rsidP="00256C19">
      <w:pPr>
        <w:ind w:left="284"/>
        <w:jc w:val="both"/>
        <w:rPr>
          <w:rFonts w:ascii="Verdana" w:hAnsi="Verdana" w:cs="Arial"/>
          <w:b/>
          <w:bCs/>
          <w:i/>
          <w:iCs/>
        </w:rPr>
      </w:pPr>
    </w:p>
    <w:p w14:paraId="686F62B6" w14:textId="5E616DE1" w:rsidR="003927A7" w:rsidRPr="003B33FD" w:rsidRDefault="001A0533" w:rsidP="00F30A19">
      <w:pPr>
        <w:pStyle w:val="Prrafodelista"/>
        <w:numPr>
          <w:ilvl w:val="1"/>
          <w:numId w:val="9"/>
        </w:numPr>
        <w:ind w:left="851" w:hanging="567"/>
        <w:jc w:val="both"/>
        <w:rPr>
          <w:rFonts w:ascii="Verdana" w:hAnsi="Verdana" w:cs="Arial"/>
          <w:b/>
          <w:bCs/>
          <w:i/>
          <w:iCs/>
        </w:rPr>
      </w:pPr>
      <w:proofErr w:type="gramStart"/>
      <w:r w:rsidRPr="003B33FD">
        <w:rPr>
          <w:rFonts w:ascii="Verdana" w:hAnsi="Verdana" w:cs="Arial"/>
          <w:b/>
          <w:bCs/>
          <w:i/>
          <w:iCs/>
        </w:rPr>
        <w:t>¿Cuál es el alcance de la expresión “activos” contenida en el artículo</w:t>
      </w:r>
      <w:r w:rsidR="00280976" w:rsidRPr="003B33FD">
        <w:rPr>
          <w:rFonts w:ascii="Verdana" w:hAnsi="Verdana" w:cs="Arial"/>
          <w:b/>
          <w:bCs/>
          <w:i/>
          <w:iCs/>
        </w:rPr>
        <w:t xml:space="preserve"> </w:t>
      </w:r>
      <w:r w:rsidRPr="003B33FD">
        <w:rPr>
          <w:rFonts w:ascii="Verdana" w:hAnsi="Verdana" w:cs="Arial"/>
          <w:b/>
          <w:bCs/>
          <w:i/>
          <w:iCs/>
        </w:rPr>
        <w:t>2.</w:t>
      </w:r>
      <w:proofErr w:type="gramEnd"/>
      <w:r w:rsidRPr="003B33FD">
        <w:rPr>
          <w:rFonts w:ascii="Verdana" w:hAnsi="Verdana" w:cs="Arial"/>
          <w:b/>
          <w:bCs/>
          <w:i/>
          <w:iCs/>
        </w:rPr>
        <w:t>1.2.1.3.4.8 de la Resolución CRA 1032 de 2026?</w:t>
      </w:r>
    </w:p>
    <w:p w14:paraId="3A0629B2" w14:textId="77777777" w:rsidR="001A0533" w:rsidRPr="003B33FD" w:rsidRDefault="001A0533" w:rsidP="00256C19">
      <w:pPr>
        <w:ind w:left="284"/>
        <w:jc w:val="both"/>
        <w:rPr>
          <w:rFonts w:ascii="Verdana" w:hAnsi="Verdana" w:cs="Arial"/>
          <w:b/>
          <w:bCs/>
          <w:i/>
          <w:iCs/>
          <w:lang w:val="es-CO"/>
        </w:rPr>
      </w:pPr>
    </w:p>
    <w:p w14:paraId="7E3D6352" w14:textId="7299AC1B" w:rsidR="008E582C" w:rsidRPr="003B33FD" w:rsidRDefault="00AB03B2" w:rsidP="009004C1">
      <w:pPr>
        <w:jc w:val="both"/>
        <w:rPr>
          <w:rFonts w:ascii="Verdana" w:hAnsi="Verdana" w:cs="Arial"/>
        </w:rPr>
      </w:pPr>
      <w:r w:rsidRPr="003B33FD">
        <w:rPr>
          <w:rFonts w:ascii="Verdana" w:hAnsi="Verdana" w:cs="Arial"/>
        </w:rPr>
        <w:t>En el marco de la metodología tarifaria de la Resolución CRA 1032 de 2026, la expresión “activos de inversiones ambientales y de gestión del riesgo” hace referencia a todos aquellos bienes, obras, instalaciones, infraestructuras, tecnologías o sistemas físicos que han sido adquiridos, construidos o implementados por la persona prestadora con el propósito directo de cumplir con sus obligaciones ambientales, ejecutando inversiones ambientales adicionales o mitigando los riesgos identificados en sus planes sectoriales, que, al ser incorporados generan de forma inherente e inevitable una serie de costos operativos vinculados a su correcta operación y mantenimiento.</w:t>
      </w:r>
    </w:p>
    <w:p w14:paraId="40045D66" w14:textId="77777777" w:rsidR="006E3950" w:rsidRPr="003B33FD" w:rsidRDefault="006E3950" w:rsidP="009004C1">
      <w:pPr>
        <w:jc w:val="both"/>
        <w:rPr>
          <w:rFonts w:ascii="Verdana" w:hAnsi="Verdana" w:cs="Arial"/>
        </w:rPr>
      </w:pPr>
    </w:p>
    <w:p w14:paraId="7E5DB0DB" w14:textId="43812947" w:rsidR="00D04DA3" w:rsidRPr="003B33FD" w:rsidRDefault="00D30D10"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correcto entender que el reconocimiento de los costos operativos de las inversiones ambientales y de gestión del riesgo (</w:t>
      </w:r>
      <w:proofErr w:type="spellStart"/>
      <w:r w:rsidRPr="003B33FD">
        <w:rPr>
          <w:rFonts w:ascii="Verdana" w:hAnsi="Verdana" w:cs="Arial"/>
          <w:b/>
          <w:bCs/>
          <w:i/>
          <w:iCs/>
        </w:rPr>
        <w:t>COIRac</w:t>
      </w:r>
      <w:proofErr w:type="spellEnd"/>
      <w:r w:rsidRPr="003B33FD">
        <w:rPr>
          <w:rFonts w:ascii="Verdana" w:hAnsi="Verdana" w:cs="Arial"/>
          <w:b/>
          <w:bCs/>
          <w:i/>
          <w:iCs/>
        </w:rPr>
        <w:t>/al) no se limita exclusivamente a los activos definidos en el artículo 2.1.2.1.3.5.13?</w:t>
      </w:r>
      <w:r w:rsidR="00C00504" w:rsidRPr="003B33FD">
        <w:rPr>
          <w:rFonts w:ascii="Verdana" w:hAnsi="Verdana" w:cs="Arial"/>
          <w:b/>
          <w:bCs/>
          <w:i/>
          <w:iCs/>
        </w:rPr>
        <w:t xml:space="preserve"> </w:t>
      </w:r>
    </w:p>
    <w:p w14:paraId="6D31E6BC" w14:textId="77777777" w:rsidR="00AE3A69" w:rsidRPr="003B33FD" w:rsidRDefault="00AE3A69" w:rsidP="009004C1">
      <w:pPr>
        <w:jc w:val="both"/>
        <w:rPr>
          <w:rFonts w:ascii="Verdana" w:hAnsi="Verdana" w:cs="Arial"/>
        </w:rPr>
      </w:pPr>
    </w:p>
    <w:p w14:paraId="621F6406" w14:textId="53EB5B68" w:rsidR="00D77DA6" w:rsidRPr="003B33FD" w:rsidRDefault="00D77DA6" w:rsidP="00D77DA6">
      <w:pPr>
        <w:jc w:val="both"/>
        <w:rPr>
          <w:rFonts w:ascii="Verdana" w:hAnsi="Verdana" w:cs="Arial"/>
        </w:rPr>
      </w:pPr>
      <w:r w:rsidRPr="003B33FD">
        <w:rPr>
          <w:rFonts w:ascii="Verdana" w:hAnsi="Verdana" w:cs="Arial"/>
        </w:rPr>
        <w:t>En el ARTÍCULO 2.1.2.1.3.5.13. PLAZO DE RECUPERACIÓN REGULADO (</w:t>
      </w:r>
      <w:proofErr w:type="gramStart"/>
      <w:r w:rsidRPr="003B33FD">
        <w:rPr>
          <w:rFonts w:ascii="Cambria Math" w:hAnsi="Cambria Math" w:cs="Cambria Math"/>
        </w:rPr>
        <w:t>𝑷𝑹𝒋</w:t>
      </w:r>
      <w:r w:rsidRPr="003B33FD">
        <w:rPr>
          <w:rFonts w:ascii="Verdana" w:hAnsi="Verdana" w:cs="Arial"/>
        </w:rPr>
        <w:t>,</w:t>
      </w:r>
      <w:r w:rsidRPr="003B33FD">
        <w:rPr>
          <w:rFonts w:ascii="Cambria Math" w:hAnsi="Cambria Math" w:cs="Cambria Math"/>
        </w:rPr>
        <w:t>𝒂𝒄</w:t>
      </w:r>
      <w:proofErr w:type="gramEnd"/>
      <w:r w:rsidRPr="003B33FD">
        <w:rPr>
          <w:rFonts w:ascii="Verdana" w:hAnsi="Verdana" w:cs="Arial"/>
        </w:rPr>
        <w:t>/</w:t>
      </w:r>
      <w:r w:rsidRPr="003B33FD">
        <w:rPr>
          <w:rFonts w:ascii="Cambria Math" w:hAnsi="Cambria Math" w:cs="Cambria Math"/>
        </w:rPr>
        <w:t>𝒂𝒍</w:t>
      </w:r>
      <w:r w:rsidRPr="003B33FD">
        <w:rPr>
          <w:rFonts w:ascii="Verdana" w:hAnsi="Verdana" w:cs="Arial"/>
        </w:rPr>
        <w:t>) Y CLASIFICACIÓN DE LOS ACTIVOS se estableci</w:t>
      </w:r>
      <w:r w:rsidR="001F5410" w:rsidRPr="003B33FD">
        <w:rPr>
          <w:rFonts w:ascii="Verdana" w:hAnsi="Verdana" w:cs="Arial"/>
        </w:rPr>
        <w:t>eron</w:t>
      </w:r>
      <w:r w:rsidRPr="003B33FD">
        <w:rPr>
          <w:rFonts w:ascii="Verdana" w:hAnsi="Verdana" w:cs="Arial"/>
        </w:rPr>
        <w:t xml:space="preserve"> </w:t>
      </w:r>
      <w:r w:rsidR="001F5410" w:rsidRPr="003B33FD">
        <w:rPr>
          <w:rFonts w:ascii="Verdana" w:hAnsi="Verdana" w:cs="Arial"/>
        </w:rPr>
        <w:t>los</w:t>
      </w:r>
      <w:r w:rsidRPr="003B33FD">
        <w:rPr>
          <w:rFonts w:ascii="Verdana" w:hAnsi="Verdana" w:cs="Arial"/>
        </w:rPr>
        <w:t xml:space="preserve"> parágrafo</w:t>
      </w:r>
      <w:r w:rsidR="001F5410" w:rsidRPr="003B33FD">
        <w:rPr>
          <w:rFonts w:ascii="Verdana" w:hAnsi="Verdana" w:cs="Arial"/>
        </w:rPr>
        <w:t>s</w:t>
      </w:r>
      <w:r w:rsidRPr="003B33FD">
        <w:rPr>
          <w:rFonts w:ascii="Verdana" w:hAnsi="Verdana" w:cs="Arial"/>
        </w:rPr>
        <w:t xml:space="preserve"> 1 y 2 que dan claridad </w:t>
      </w:r>
      <w:r w:rsidR="001F5410" w:rsidRPr="003B33FD">
        <w:rPr>
          <w:rFonts w:ascii="Verdana" w:hAnsi="Verdana" w:cs="Arial"/>
        </w:rPr>
        <w:t xml:space="preserve">al </w:t>
      </w:r>
      <w:r w:rsidRPr="003B33FD">
        <w:rPr>
          <w:rFonts w:ascii="Verdana" w:hAnsi="Verdana" w:cs="Arial"/>
        </w:rPr>
        <w:t>interrogante, por lo cual la persona prestadora puede integrar activos que no estén relacionados, como se expone a continuación:</w:t>
      </w:r>
    </w:p>
    <w:p w14:paraId="694D2A6C" w14:textId="77777777" w:rsidR="00D77DA6" w:rsidRPr="003B33FD" w:rsidRDefault="00D77DA6" w:rsidP="00D77DA6">
      <w:pPr>
        <w:jc w:val="both"/>
        <w:rPr>
          <w:rFonts w:ascii="Verdana" w:hAnsi="Verdana" w:cs="Arial"/>
        </w:rPr>
      </w:pPr>
    </w:p>
    <w:p w14:paraId="50614ED2" w14:textId="77777777" w:rsidR="00D77DA6" w:rsidRPr="003B33FD" w:rsidRDefault="00D77DA6" w:rsidP="00CE00E4">
      <w:pPr>
        <w:ind w:left="709"/>
        <w:jc w:val="both"/>
        <w:rPr>
          <w:rFonts w:ascii="Verdana" w:hAnsi="Verdana" w:cs="Arial"/>
          <w:i/>
          <w:iCs/>
        </w:rPr>
      </w:pPr>
      <w:r w:rsidRPr="003B33FD">
        <w:rPr>
          <w:rFonts w:ascii="Verdana" w:hAnsi="Verdana" w:cs="Arial"/>
          <w:i/>
          <w:iCs/>
        </w:rPr>
        <w:t xml:space="preserve">“PARÁGRAFO 1. Los activos que no estén relacionados en la clasificación establecida en el presente artículo, pero cumplan con los criterios establecidos en el artículo 2.1.2.1.3.5.18. de la presente resolución, podrán incorporarse. Para el efecto, tanto el tipo de activo como su plazo de recuperación deberá </w:t>
      </w:r>
      <w:r w:rsidRPr="003B33FD">
        <w:rPr>
          <w:rFonts w:ascii="Verdana" w:hAnsi="Verdana" w:cs="Arial"/>
          <w:i/>
          <w:iCs/>
        </w:rPr>
        <w:lastRenderedPageBreak/>
        <w:t xml:space="preserve">estar soportado con la documentación que la persona prestadora considere pertinente. Los soportes correspondientes deberán quedar a disposición de la Superintendencia de Servicios Públicos Domiciliarios- SSPD. </w:t>
      </w:r>
    </w:p>
    <w:p w14:paraId="37EC8B55" w14:textId="77777777" w:rsidR="004359E9" w:rsidRPr="003B33FD" w:rsidRDefault="004359E9" w:rsidP="00CE00E4">
      <w:pPr>
        <w:ind w:left="709"/>
        <w:jc w:val="both"/>
        <w:rPr>
          <w:rFonts w:ascii="Verdana" w:hAnsi="Verdana" w:cs="Arial"/>
          <w:i/>
          <w:iCs/>
        </w:rPr>
      </w:pPr>
    </w:p>
    <w:p w14:paraId="3E3A64A1" w14:textId="4019A31C" w:rsidR="00AE3A69" w:rsidRPr="003B33FD" w:rsidRDefault="00D77DA6" w:rsidP="00CE00E4">
      <w:pPr>
        <w:ind w:left="709"/>
        <w:jc w:val="both"/>
        <w:rPr>
          <w:rFonts w:ascii="Verdana" w:hAnsi="Verdana" w:cs="Arial"/>
          <w:i/>
          <w:iCs/>
        </w:rPr>
      </w:pPr>
      <w:r w:rsidRPr="003B33FD">
        <w:rPr>
          <w:rFonts w:ascii="Verdana" w:hAnsi="Verdana" w:cs="Arial"/>
          <w:i/>
          <w:iCs/>
        </w:rPr>
        <w:t>PARÁGRAFO 2. Si la inversión ambiental obligatoria, adicional o de gestión del riesgo para el servicio público domiciliario de acueducto o alcantarillado está incorporada en los activos de infraestructura o los activos administrativos y operativos, se deberá especificar el plazo de remuneración respectivo.”</w:t>
      </w:r>
    </w:p>
    <w:p w14:paraId="091CD502" w14:textId="77777777" w:rsidR="00AE3A69" w:rsidRPr="003B33FD" w:rsidRDefault="00AE3A69" w:rsidP="009004C1">
      <w:pPr>
        <w:jc w:val="both"/>
        <w:rPr>
          <w:rFonts w:ascii="Verdana" w:hAnsi="Verdana" w:cs="Arial"/>
        </w:rPr>
      </w:pPr>
    </w:p>
    <w:p w14:paraId="3AC5A1A3" w14:textId="57D696BB" w:rsidR="00AE3A69" w:rsidRPr="003B33FD" w:rsidRDefault="00AA0FAF" w:rsidP="00F30A19">
      <w:pPr>
        <w:pStyle w:val="Prrafodelista"/>
        <w:numPr>
          <w:ilvl w:val="1"/>
          <w:numId w:val="9"/>
        </w:numPr>
        <w:ind w:left="851" w:hanging="567"/>
        <w:jc w:val="both"/>
        <w:rPr>
          <w:rFonts w:ascii="Verdana" w:hAnsi="Verdana" w:cs="Arial"/>
          <w:b/>
          <w:bCs/>
          <w:i/>
          <w:iCs/>
        </w:rPr>
      </w:pPr>
      <w:proofErr w:type="gramStart"/>
      <w:r w:rsidRPr="003B33FD">
        <w:rPr>
          <w:rFonts w:ascii="Verdana" w:hAnsi="Verdana" w:cs="Arial"/>
          <w:b/>
          <w:bCs/>
          <w:i/>
          <w:iCs/>
        </w:rPr>
        <w:t>¿Es correcto entender que dicho reconocimiento comprende, de manera amplia, las</w:t>
      </w:r>
      <w:r w:rsidR="00D01DF8" w:rsidRPr="003B33FD">
        <w:rPr>
          <w:rFonts w:ascii="Verdana" w:hAnsi="Verdana" w:cs="Arial"/>
          <w:b/>
          <w:bCs/>
          <w:i/>
          <w:iCs/>
        </w:rPr>
        <w:t xml:space="preserve"> </w:t>
      </w:r>
      <w:r w:rsidRPr="003B33FD">
        <w:rPr>
          <w:rFonts w:ascii="Verdana" w:hAnsi="Verdana" w:cs="Arial"/>
          <w:b/>
          <w:bCs/>
          <w:i/>
          <w:iCs/>
        </w:rPr>
        <w:t>“inversiones ambientales” conforme a la definición prevista en el artículo 2.</w:t>
      </w:r>
      <w:proofErr w:type="gramEnd"/>
      <w:r w:rsidRPr="003B33FD">
        <w:rPr>
          <w:rFonts w:ascii="Verdana" w:hAnsi="Verdana" w:cs="Arial"/>
          <w:b/>
          <w:bCs/>
          <w:i/>
          <w:iCs/>
        </w:rPr>
        <w:t>1.2.1.3.4.8?</w:t>
      </w:r>
    </w:p>
    <w:p w14:paraId="0249EDB1" w14:textId="77777777" w:rsidR="006E3950" w:rsidRPr="003B33FD" w:rsidRDefault="006E3950" w:rsidP="009004C1">
      <w:pPr>
        <w:jc w:val="both"/>
        <w:rPr>
          <w:rFonts w:ascii="Verdana" w:hAnsi="Verdana" w:cs="Arial"/>
          <w:lang w:val="es-CO"/>
        </w:rPr>
      </w:pPr>
    </w:p>
    <w:p w14:paraId="207C3654" w14:textId="071E7A81" w:rsidR="00CE00E4" w:rsidRPr="003B33FD" w:rsidRDefault="00CE00E4" w:rsidP="00CE00E4">
      <w:pPr>
        <w:jc w:val="both"/>
        <w:rPr>
          <w:rFonts w:ascii="Verdana" w:hAnsi="Verdana" w:cs="Arial"/>
          <w:lang w:val="es-CO"/>
        </w:rPr>
      </w:pPr>
      <w:r w:rsidRPr="003B33FD">
        <w:rPr>
          <w:rFonts w:ascii="Verdana" w:hAnsi="Verdana" w:cs="Arial"/>
          <w:lang w:val="es-CO"/>
        </w:rPr>
        <w:t>Se detalla</w:t>
      </w:r>
      <w:r w:rsidR="001F5410" w:rsidRPr="003B33FD">
        <w:rPr>
          <w:rFonts w:ascii="Verdana" w:hAnsi="Verdana" w:cs="Arial"/>
          <w:lang w:val="es-CO"/>
        </w:rPr>
        <w:t>n</w:t>
      </w:r>
      <w:r w:rsidRPr="003B33FD">
        <w:rPr>
          <w:rFonts w:ascii="Verdana" w:hAnsi="Verdana" w:cs="Arial"/>
          <w:lang w:val="es-CO"/>
        </w:rPr>
        <w:t xml:space="preserve"> inicialmente las respectivas definiciones asociadas:</w:t>
      </w:r>
    </w:p>
    <w:p w14:paraId="583CFDF2" w14:textId="77777777" w:rsidR="00CE00E4" w:rsidRPr="003B33FD" w:rsidRDefault="00CE00E4" w:rsidP="00CE00E4">
      <w:pPr>
        <w:jc w:val="both"/>
        <w:rPr>
          <w:rFonts w:ascii="Verdana" w:hAnsi="Verdana" w:cs="Arial"/>
          <w:lang w:val="es-CO"/>
        </w:rPr>
      </w:pPr>
    </w:p>
    <w:p w14:paraId="36E7070E" w14:textId="77777777" w:rsidR="00CE00E4" w:rsidRPr="003B33FD" w:rsidRDefault="00CE00E4" w:rsidP="00CE00E4">
      <w:pPr>
        <w:ind w:left="709"/>
        <w:jc w:val="both"/>
        <w:rPr>
          <w:rFonts w:ascii="Verdana" w:hAnsi="Verdana" w:cs="Arial"/>
          <w:i/>
          <w:iCs/>
        </w:rPr>
      </w:pPr>
      <w:r w:rsidRPr="003B33FD">
        <w:rPr>
          <w:rFonts w:ascii="Verdana" w:hAnsi="Verdana" w:cs="Arial"/>
          <w:i/>
          <w:iCs/>
        </w:rPr>
        <w:t xml:space="preserve">“Inversiones Ambientales-IA: son aquellas definidas en el artículo 2.3.1.5.3 del Decreto 1207 de 2018 compilado en el Decreto 1077 de 2015, o aquel que lo modifique, adicione, sustituya o derogue. Estas inversiones pueden ser obligatorias o adicionales, y se incorporan en las tarifas conforme con lo dispuesto en el Plan de Sostenibilidad Hídrica (PSH). </w:t>
      </w:r>
    </w:p>
    <w:p w14:paraId="52C19ABA" w14:textId="77777777" w:rsidR="001F5410" w:rsidRPr="003B33FD" w:rsidRDefault="001F5410" w:rsidP="00CE00E4">
      <w:pPr>
        <w:ind w:left="709"/>
        <w:jc w:val="both"/>
        <w:rPr>
          <w:rFonts w:ascii="Verdana" w:hAnsi="Verdana" w:cs="Arial"/>
          <w:i/>
          <w:iCs/>
        </w:rPr>
      </w:pPr>
    </w:p>
    <w:p w14:paraId="58066B44" w14:textId="77777777" w:rsidR="00CE00E4" w:rsidRDefault="00CE00E4" w:rsidP="00CE00E4">
      <w:pPr>
        <w:ind w:left="709"/>
        <w:jc w:val="both"/>
        <w:rPr>
          <w:rFonts w:ascii="Verdana" w:hAnsi="Verdana" w:cs="Arial"/>
          <w:i/>
          <w:iCs/>
        </w:rPr>
      </w:pPr>
      <w:r w:rsidRPr="003B33FD">
        <w:rPr>
          <w:rFonts w:ascii="Verdana" w:hAnsi="Verdana" w:cs="Arial"/>
          <w:i/>
          <w:iCs/>
        </w:rPr>
        <w:t xml:space="preserve">Inversiones Ambientales Obligatorias-IAO: son aquellas inversiones ambientales y de gestión del riesgo que deben ser realizadas por el prestador en cumplimiento de una orden expresa de la autoridad ambiental competente, o de decisiones judiciales vinculantes. </w:t>
      </w:r>
    </w:p>
    <w:p w14:paraId="28C72827" w14:textId="77777777" w:rsidR="003B33FD" w:rsidRPr="003B33FD" w:rsidRDefault="003B33FD" w:rsidP="00CE00E4">
      <w:pPr>
        <w:ind w:left="709"/>
        <w:jc w:val="both"/>
        <w:rPr>
          <w:rFonts w:ascii="Verdana" w:hAnsi="Verdana" w:cs="Arial"/>
          <w:i/>
          <w:iCs/>
        </w:rPr>
      </w:pPr>
    </w:p>
    <w:p w14:paraId="094DFEFA" w14:textId="77777777" w:rsidR="00CE00E4" w:rsidRPr="003B33FD" w:rsidRDefault="00CE00E4" w:rsidP="00CE00E4">
      <w:pPr>
        <w:ind w:left="709"/>
        <w:jc w:val="both"/>
        <w:rPr>
          <w:rFonts w:ascii="Verdana" w:hAnsi="Verdana" w:cs="Arial"/>
          <w:i/>
          <w:iCs/>
        </w:rPr>
      </w:pPr>
      <w:r w:rsidRPr="003B33FD">
        <w:rPr>
          <w:rFonts w:ascii="Verdana" w:hAnsi="Verdana" w:cs="Arial"/>
          <w:i/>
          <w:iCs/>
        </w:rPr>
        <w:t>Inversiones Ambientales Adicionales-IAA: corresponden a las inversiones ambientales optativas definidas en el artículo 3 de la Resolución MVCT 0874 de 2018 o aquella que la modifique, adicione, sustituya o derogue. Estas inversiones buscan fortalecer la sostenibilidad ambiental del servicio público de acueducto y su efecto positivo en los ecosistemas y la cuenca asociada.”</w:t>
      </w:r>
    </w:p>
    <w:p w14:paraId="103B662F" w14:textId="77777777" w:rsidR="00CE00E4" w:rsidRPr="003B33FD" w:rsidRDefault="00CE00E4" w:rsidP="00CE00E4">
      <w:pPr>
        <w:jc w:val="both"/>
        <w:rPr>
          <w:rFonts w:ascii="Verdana" w:hAnsi="Verdana" w:cs="Arial"/>
          <w:lang w:val="es-CO"/>
        </w:rPr>
      </w:pPr>
    </w:p>
    <w:p w14:paraId="471B164D" w14:textId="656D608A" w:rsidR="00D01DF8" w:rsidRPr="003B33FD" w:rsidRDefault="00CE00E4" w:rsidP="00CE00E4">
      <w:pPr>
        <w:jc w:val="both"/>
        <w:rPr>
          <w:rFonts w:ascii="Verdana" w:hAnsi="Verdana" w:cs="Arial"/>
          <w:lang w:val="es-CO"/>
        </w:rPr>
      </w:pPr>
      <w:r w:rsidRPr="003B33FD">
        <w:rPr>
          <w:rFonts w:ascii="Verdana" w:hAnsi="Verdana" w:cs="Arial"/>
          <w:lang w:val="es-CO"/>
        </w:rPr>
        <w:t xml:space="preserve">Así mismo, es fundamental precisar que, para efectos de su reconocimiento en la tarifa bajo el marco de la Resolución CRA 1032 de 2026, únicamente serán elegibles aquellas inversiones ambientales que se encuentren estrictamente afectas a la prestación de los servicios públicos domiciliarios de acueducto y/o alcantarillado. Esto implica que los proyectos propuestos deben cumplir de forma simultánea con tres condiciones de control: i) nexo causal y necesidad: deben ser indispensables para garantizar la sostenibilidad operativa, continuidad o calidad del servicio, ya sea </w:t>
      </w:r>
      <w:r w:rsidRPr="003B33FD">
        <w:rPr>
          <w:rFonts w:ascii="Verdana" w:hAnsi="Verdana" w:cs="Arial"/>
          <w:lang w:val="es-CO"/>
        </w:rPr>
        <w:lastRenderedPageBreak/>
        <w:t xml:space="preserve">porque responden a un mandato de ley </w:t>
      </w:r>
      <w:r w:rsidR="001F5410" w:rsidRPr="003B33FD">
        <w:rPr>
          <w:rFonts w:ascii="Verdana" w:hAnsi="Verdana" w:cs="Arial"/>
          <w:lang w:val="es-CO"/>
        </w:rPr>
        <w:t>efectuado</w:t>
      </w:r>
      <w:r w:rsidRPr="003B33FD">
        <w:rPr>
          <w:rFonts w:ascii="Verdana" w:hAnsi="Verdana" w:cs="Arial"/>
          <w:lang w:val="es-CO"/>
        </w:rPr>
        <w:t xml:space="preserve"> por la autoridad ambiental (obligatorio) o porque se trata de una inversión adicional técnicamente justificada dentro del Plan de Sostenibilidad Hídrica (PSH) y acorde a los 6 tipos permitidos; </w:t>
      </w:r>
      <w:proofErr w:type="spellStart"/>
      <w:r w:rsidRPr="003B33FD">
        <w:rPr>
          <w:rFonts w:ascii="Verdana" w:hAnsi="Verdana" w:cs="Arial"/>
          <w:lang w:val="es-CO"/>
        </w:rPr>
        <w:t>ii</w:t>
      </w:r>
      <w:proofErr w:type="spellEnd"/>
      <w:r w:rsidRPr="003B33FD">
        <w:rPr>
          <w:rFonts w:ascii="Verdana" w:hAnsi="Verdana" w:cs="Arial"/>
          <w:lang w:val="es-CO"/>
        </w:rPr>
        <w:t xml:space="preserve">) exclusión de doble remuneración: bajo ninguna circunstancia se admitirá el reconocimiento de inversiones que ya estén siendo remuneradas a través de otros componentes del marco tarifario; y </w:t>
      </w:r>
      <w:proofErr w:type="spellStart"/>
      <w:r w:rsidRPr="003B33FD">
        <w:rPr>
          <w:rFonts w:ascii="Verdana" w:hAnsi="Verdana" w:cs="Arial"/>
          <w:lang w:val="es-CO"/>
        </w:rPr>
        <w:t>iii</w:t>
      </w:r>
      <w:proofErr w:type="spellEnd"/>
      <w:r w:rsidRPr="003B33FD">
        <w:rPr>
          <w:rFonts w:ascii="Verdana" w:hAnsi="Verdana" w:cs="Arial"/>
          <w:lang w:val="es-CO"/>
        </w:rPr>
        <w:t>) asignación exclusiva: el prestador debe demostrar que los beneficios del activo o proyecto ambiental recaen directamente sobre los usuarios del sistema, evitando trasladar a la tarifa costos ajenos a la prestación directa del servicio.</w:t>
      </w:r>
    </w:p>
    <w:p w14:paraId="4FD49361" w14:textId="77777777" w:rsidR="00D01DF8" w:rsidRPr="003B33FD" w:rsidRDefault="00D01DF8" w:rsidP="009004C1">
      <w:pPr>
        <w:jc w:val="both"/>
        <w:rPr>
          <w:rFonts w:ascii="Verdana" w:hAnsi="Verdana" w:cs="Arial"/>
          <w:lang w:val="es-CO"/>
        </w:rPr>
      </w:pPr>
    </w:p>
    <w:p w14:paraId="51D81F47" w14:textId="62DF51E7" w:rsidR="00D01DF8" w:rsidRPr="003B33FD" w:rsidRDefault="0017417B"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 xml:space="preserve">¿Es correcto entender que el reconocimiento del </w:t>
      </w:r>
      <w:proofErr w:type="spellStart"/>
      <w:r w:rsidRPr="003B33FD">
        <w:rPr>
          <w:rFonts w:ascii="Verdana" w:hAnsi="Verdana" w:cs="Arial"/>
          <w:b/>
          <w:bCs/>
          <w:i/>
          <w:iCs/>
        </w:rPr>
        <w:t>COIRac</w:t>
      </w:r>
      <w:proofErr w:type="spellEnd"/>
      <w:r w:rsidRPr="003B33FD">
        <w:rPr>
          <w:rFonts w:ascii="Verdana" w:hAnsi="Verdana" w:cs="Arial"/>
          <w:b/>
          <w:bCs/>
          <w:i/>
          <w:iCs/>
        </w:rPr>
        <w:t>/al comprende costos</w:t>
      </w:r>
      <w:r w:rsidR="00F1387E" w:rsidRPr="003B33FD">
        <w:rPr>
          <w:rFonts w:ascii="Verdana" w:hAnsi="Verdana" w:cs="Arial"/>
          <w:b/>
          <w:bCs/>
          <w:i/>
          <w:iCs/>
        </w:rPr>
        <w:t xml:space="preserve"> </w:t>
      </w:r>
      <w:r w:rsidRPr="003B33FD">
        <w:rPr>
          <w:rFonts w:ascii="Verdana" w:hAnsi="Verdana" w:cs="Arial"/>
          <w:b/>
          <w:bCs/>
          <w:i/>
          <w:iCs/>
        </w:rPr>
        <w:t>asociados</w:t>
      </w:r>
      <w:r w:rsidR="00F1387E" w:rsidRPr="003B33FD">
        <w:rPr>
          <w:rFonts w:ascii="Verdana" w:hAnsi="Verdana" w:cs="Arial"/>
          <w:b/>
          <w:bCs/>
          <w:i/>
          <w:iCs/>
        </w:rPr>
        <w:t xml:space="preserve"> </w:t>
      </w:r>
      <w:r w:rsidRPr="003B33FD">
        <w:rPr>
          <w:rFonts w:ascii="Verdana" w:hAnsi="Verdana" w:cs="Arial"/>
          <w:b/>
          <w:bCs/>
          <w:i/>
          <w:iCs/>
        </w:rPr>
        <w:t>a gestión del riesgo, conservación, monitoreo, mantenimiento, servicios</w:t>
      </w:r>
      <w:r w:rsidR="00F1387E" w:rsidRPr="003B33FD">
        <w:rPr>
          <w:rFonts w:ascii="Verdana" w:hAnsi="Verdana" w:cs="Arial"/>
          <w:b/>
          <w:bCs/>
          <w:i/>
          <w:iCs/>
        </w:rPr>
        <w:t xml:space="preserve"> </w:t>
      </w:r>
      <w:r w:rsidRPr="003B33FD">
        <w:rPr>
          <w:rFonts w:ascii="Verdana" w:hAnsi="Verdana" w:cs="Arial"/>
          <w:b/>
          <w:bCs/>
          <w:i/>
          <w:iCs/>
        </w:rPr>
        <w:t>personales,</w:t>
      </w:r>
      <w:r w:rsidR="00F1387E" w:rsidRPr="003B33FD">
        <w:rPr>
          <w:rFonts w:ascii="Verdana" w:hAnsi="Verdana" w:cs="Arial"/>
          <w:b/>
          <w:bCs/>
          <w:i/>
          <w:iCs/>
        </w:rPr>
        <w:t xml:space="preserve"> </w:t>
      </w:r>
      <w:r w:rsidRPr="003B33FD">
        <w:rPr>
          <w:rFonts w:ascii="Verdana" w:hAnsi="Verdana" w:cs="Arial"/>
          <w:b/>
          <w:bCs/>
          <w:i/>
          <w:iCs/>
        </w:rPr>
        <w:t>honorarios, operación de redes de monitoreo, operación de instrumentos de</w:t>
      </w:r>
      <w:r w:rsidR="00F1387E" w:rsidRPr="003B33FD">
        <w:rPr>
          <w:rFonts w:ascii="Verdana" w:hAnsi="Verdana" w:cs="Arial"/>
          <w:b/>
          <w:bCs/>
          <w:i/>
          <w:iCs/>
        </w:rPr>
        <w:t xml:space="preserve"> </w:t>
      </w:r>
      <w:r w:rsidRPr="003B33FD">
        <w:rPr>
          <w:rFonts w:ascii="Verdana" w:hAnsi="Verdana" w:cs="Arial"/>
          <w:b/>
          <w:bCs/>
          <w:i/>
          <w:iCs/>
        </w:rPr>
        <w:t>medición,</w:t>
      </w:r>
      <w:r w:rsidR="00F1387E" w:rsidRPr="003B33FD">
        <w:rPr>
          <w:rFonts w:ascii="Verdana" w:hAnsi="Verdana" w:cs="Arial"/>
          <w:b/>
          <w:bCs/>
          <w:i/>
          <w:iCs/>
        </w:rPr>
        <w:t xml:space="preserve"> </w:t>
      </w:r>
      <w:r w:rsidRPr="003B33FD">
        <w:rPr>
          <w:rFonts w:ascii="Verdana" w:hAnsi="Verdana" w:cs="Arial"/>
          <w:b/>
          <w:bCs/>
          <w:i/>
          <w:iCs/>
        </w:rPr>
        <w:t>permisos, licencias, autorizaciones ambientales y demás costos previstos en el</w:t>
      </w:r>
      <w:r w:rsidR="00F1387E" w:rsidRPr="003B33FD">
        <w:rPr>
          <w:rFonts w:ascii="Verdana" w:hAnsi="Verdana" w:cs="Arial"/>
          <w:b/>
          <w:bCs/>
          <w:i/>
          <w:iCs/>
        </w:rPr>
        <w:t xml:space="preserve"> </w:t>
      </w:r>
      <w:r w:rsidRPr="003B33FD">
        <w:rPr>
          <w:rFonts w:ascii="Verdana" w:hAnsi="Verdana" w:cs="Arial"/>
          <w:b/>
          <w:bCs/>
          <w:i/>
          <w:iCs/>
        </w:rPr>
        <w:t>artículo</w:t>
      </w:r>
      <w:r w:rsidR="00F1387E" w:rsidRPr="003B33FD">
        <w:rPr>
          <w:rFonts w:ascii="Verdana" w:hAnsi="Verdana" w:cs="Arial"/>
          <w:b/>
          <w:bCs/>
          <w:i/>
          <w:iCs/>
        </w:rPr>
        <w:t xml:space="preserve"> </w:t>
      </w:r>
      <w:r w:rsidRPr="003B33FD">
        <w:rPr>
          <w:rFonts w:ascii="Verdana" w:hAnsi="Verdana" w:cs="Arial"/>
          <w:b/>
          <w:bCs/>
          <w:i/>
          <w:iCs/>
        </w:rPr>
        <w:t>2.1.2.1.3.4.8, aun cuando no estén asociados exclusivamente a los activos</w:t>
      </w:r>
      <w:r w:rsidR="00F1387E" w:rsidRPr="003B33FD">
        <w:rPr>
          <w:rFonts w:ascii="Verdana" w:hAnsi="Verdana" w:cs="Arial"/>
          <w:b/>
          <w:bCs/>
          <w:i/>
          <w:iCs/>
        </w:rPr>
        <w:t xml:space="preserve"> </w:t>
      </w:r>
      <w:r w:rsidRPr="003B33FD">
        <w:rPr>
          <w:rFonts w:ascii="Verdana" w:hAnsi="Verdana" w:cs="Arial"/>
          <w:b/>
          <w:bCs/>
          <w:i/>
          <w:iCs/>
        </w:rPr>
        <w:t>listados en el</w:t>
      </w:r>
      <w:r w:rsidR="00F1387E" w:rsidRPr="003B33FD">
        <w:rPr>
          <w:rFonts w:ascii="Verdana" w:hAnsi="Verdana" w:cs="Arial"/>
          <w:b/>
          <w:bCs/>
          <w:i/>
          <w:iCs/>
        </w:rPr>
        <w:t xml:space="preserve"> </w:t>
      </w:r>
      <w:r w:rsidRPr="003B33FD">
        <w:rPr>
          <w:rFonts w:ascii="Verdana" w:hAnsi="Verdana" w:cs="Arial"/>
          <w:b/>
          <w:bCs/>
          <w:i/>
          <w:iCs/>
        </w:rPr>
        <w:t>artículo 2.1.2.1.3.5.13? En caso afirmativo, solicitamos realizar la precisión</w:t>
      </w:r>
      <w:r w:rsidR="00F1387E" w:rsidRPr="003B33FD">
        <w:rPr>
          <w:rFonts w:ascii="Verdana" w:hAnsi="Verdana" w:cs="Arial"/>
          <w:b/>
          <w:bCs/>
          <w:i/>
          <w:iCs/>
        </w:rPr>
        <w:t xml:space="preserve"> </w:t>
      </w:r>
      <w:r w:rsidRPr="003B33FD">
        <w:rPr>
          <w:rFonts w:ascii="Verdana" w:hAnsi="Verdana" w:cs="Arial"/>
          <w:b/>
          <w:bCs/>
          <w:i/>
          <w:iCs/>
        </w:rPr>
        <w:t>correspondiente</w:t>
      </w:r>
      <w:r w:rsidR="00F1387E" w:rsidRPr="003B33FD">
        <w:rPr>
          <w:rFonts w:ascii="Verdana" w:hAnsi="Verdana" w:cs="Arial"/>
          <w:b/>
          <w:bCs/>
          <w:i/>
          <w:iCs/>
        </w:rPr>
        <w:t xml:space="preserve"> </w:t>
      </w:r>
      <w:r w:rsidRPr="003B33FD">
        <w:rPr>
          <w:rFonts w:ascii="Verdana" w:hAnsi="Verdana" w:cs="Arial"/>
          <w:b/>
          <w:bCs/>
          <w:i/>
          <w:iCs/>
        </w:rPr>
        <w:t>para evitar una interpretación restrictiva del concepto de “activos de</w:t>
      </w:r>
      <w:r w:rsidR="00F1387E" w:rsidRPr="003B33FD">
        <w:rPr>
          <w:rFonts w:ascii="Verdana" w:hAnsi="Verdana" w:cs="Arial"/>
          <w:b/>
          <w:bCs/>
          <w:i/>
          <w:iCs/>
        </w:rPr>
        <w:t xml:space="preserve"> </w:t>
      </w:r>
      <w:r w:rsidRPr="003B33FD">
        <w:rPr>
          <w:rFonts w:ascii="Verdana" w:hAnsi="Verdana" w:cs="Arial"/>
          <w:b/>
          <w:bCs/>
          <w:i/>
          <w:iCs/>
        </w:rPr>
        <w:t>inversiones ambientales”.</w:t>
      </w:r>
    </w:p>
    <w:p w14:paraId="6C4DF450" w14:textId="77777777" w:rsidR="00F1387E" w:rsidRPr="003B33FD" w:rsidRDefault="00F1387E" w:rsidP="0017417B">
      <w:pPr>
        <w:jc w:val="both"/>
        <w:rPr>
          <w:rFonts w:ascii="Verdana" w:hAnsi="Verdana" w:cs="Arial"/>
          <w:lang w:val="es-CO"/>
        </w:rPr>
      </w:pPr>
    </w:p>
    <w:p w14:paraId="493FEB54" w14:textId="1293F002" w:rsidR="00F1387E" w:rsidRPr="003B33FD" w:rsidRDefault="00003602" w:rsidP="0017417B">
      <w:pPr>
        <w:jc w:val="both"/>
        <w:rPr>
          <w:rFonts w:ascii="Verdana" w:hAnsi="Verdana" w:cs="Arial"/>
          <w:lang w:val="es-CO"/>
        </w:rPr>
      </w:pPr>
      <w:r w:rsidRPr="003B33FD">
        <w:rPr>
          <w:rFonts w:ascii="Verdana" w:hAnsi="Verdana" w:cs="Arial"/>
          <w:lang w:val="es-CO"/>
        </w:rPr>
        <w:t xml:space="preserve">Como se señaló en la respuesta a la pregunta </w:t>
      </w:r>
      <w:r w:rsidRPr="003B33FD">
        <w:rPr>
          <w:rFonts w:ascii="Verdana" w:hAnsi="Verdana" w:cs="Arial"/>
          <w:b/>
          <w:bCs/>
          <w:lang w:val="es-CO"/>
        </w:rPr>
        <w:t>3.2.</w:t>
      </w:r>
      <w:r w:rsidRPr="003B33FD">
        <w:rPr>
          <w:rFonts w:ascii="Verdana" w:hAnsi="Verdana" w:cs="Arial"/>
          <w:lang w:val="es-CO"/>
        </w:rPr>
        <w:t>,</w:t>
      </w:r>
      <w:r w:rsidR="000B4D6B" w:rsidRPr="003B33FD">
        <w:rPr>
          <w:rFonts w:ascii="Verdana" w:hAnsi="Verdana" w:cs="Arial"/>
          <w:lang w:val="es-CO"/>
        </w:rPr>
        <w:t xml:space="preserve"> los parágrafos 1 y 2 del </w:t>
      </w:r>
      <w:r w:rsidR="00084025" w:rsidRPr="003B33FD">
        <w:rPr>
          <w:rFonts w:ascii="Verdana" w:hAnsi="Verdana" w:cs="Arial"/>
          <w:lang w:val="es-CO"/>
        </w:rPr>
        <w:t xml:space="preserve">artículo </w:t>
      </w:r>
      <w:r w:rsidR="000B4D6B" w:rsidRPr="003B33FD">
        <w:rPr>
          <w:rFonts w:ascii="Verdana" w:hAnsi="Verdana" w:cs="Arial"/>
          <w:lang w:val="es-CO"/>
        </w:rPr>
        <w:t xml:space="preserve">2.1.2.1.3.5.13. dan claridad </w:t>
      </w:r>
      <w:r w:rsidR="00E05119" w:rsidRPr="003B33FD">
        <w:rPr>
          <w:rFonts w:ascii="Verdana" w:hAnsi="Verdana" w:cs="Arial"/>
          <w:lang w:val="es-CO"/>
        </w:rPr>
        <w:t xml:space="preserve">a esta </w:t>
      </w:r>
      <w:r w:rsidR="000B4D6B" w:rsidRPr="003B33FD">
        <w:rPr>
          <w:rFonts w:ascii="Verdana" w:hAnsi="Verdana" w:cs="Arial"/>
          <w:lang w:val="es-CO"/>
        </w:rPr>
        <w:t>interrogante</w:t>
      </w:r>
      <w:r w:rsidR="00E05119" w:rsidRPr="003B33FD">
        <w:rPr>
          <w:rFonts w:ascii="Verdana" w:hAnsi="Verdana" w:cs="Arial"/>
          <w:lang w:val="es-CO"/>
        </w:rPr>
        <w:t xml:space="preserve">. </w:t>
      </w:r>
    </w:p>
    <w:p w14:paraId="4E38BDA2" w14:textId="77777777" w:rsidR="00FA41FA" w:rsidRPr="003B33FD" w:rsidRDefault="00FA41FA" w:rsidP="0017417B">
      <w:pPr>
        <w:jc w:val="both"/>
        <w:rPr>
          <w:rFonts w:ascii="Verdana" w:hAnsi="Verdana" w:cs="Arial"/>
          <w:lang w:val="es-CO"/>
        </w:rPr>
      </w:pPr>
    </w:p>
    <w:p w14:paraId="6F217C20" w14:textId="75FFF2CD" w:rsidR="006E3950" w:rsidRPr="003B33FD" w:rsidRDefault="006E3950" w:rsidP="00843611">
      <w:pPr>
        <w:pStyle w:val="Prrafodelista"/>
        <w:numPr>
          <w:ilvl w:val="0"/>
          <w:numId w:val="9"/>
        </w:numPr>
        <w:ind w:left="567" w:hanging="283"/>
        <w:jc w:val="both"/>
        <w:rPr>
          <w:rFonts w:ascii="Verdana" w:hAnsi="Verdana" w:cs="Arial"/>
          <w:b/>
          <w:bCs/>
          <w:i/>
          <w:iCs/>
        </w:rPr>
      </w:pPr>
      <w:r w:rsidRPr="003B33FD">
        <w:rPr>
          <w:rFonts w:ascii="Verdana" w:hAnsi="Verdana" w:cs="Arial"/>
          <w:b/>
          <w:bCs/>
          <w:i/>
          <w:iCs/>
        </w:rPr>
        <w:t>Reconocimiento tarifario de la Tasa Especial de Seguridad y Convivencia</w:t>
      </w:r>
      <w:r w:rsidR="001638B0" w:rsidRPr="003B33FD">
        <w:rPr>
          <w:rFonts w:ascii="Verdana" w:hAnsi="Verdana" w:cs="Arial"/>
          <w:b/>
          <w:bCs/>
          <w:i/>
          <w:iCs/>
        </w:rPr>
        <w:t xml:space="preserve"> </w:t>
      </w:r>
      <w:r w:rsidRPr="003B33FD">
        <w:rPr>
          <w:rFonts w:ascii="Verdana" w:hAnsi="Verdana" w:cs="Arial"/>
          <w:b/>
          <w:bCs/>
          <w:i/>
          <w:iCs/>
        </w:rPr>
        <w:t>Ciudadana</w:t>
      </w:r>
      <w:r w:rsidR="007D57B8" w:rsidRPr="003B33FD">
        <w:rPr>
          <w:rFonts w:ascii="Verdana" w:hAnsi="Verdana" w:cs="Arial"/>
          <w:b/>
          <w:bCs/>
          <w:i/>
          <w:iCs/>
        </w:rPr>
        <w:t xml:space="preserve"> </w:t>
      </w:r>
    </w:p>
    <w:p w14:paraId="273C4D52" w14:textId="77777777" w:rsidR="00BB6B5C" w:rsidRPr="003B33FD" w:rsidRDefault="00BB6B5C" w:rsidP="007D57B8">
      <w:pPr>
        <w:ind w:left="284"/>
        <w:jc w:val="both"/>
        <w:rPr>
          <w:rFonts w:ascii="Verdana" w:hAnsi="Verdana" w:cs="Arial"/>
          <w:b/>
          <w:bCs/>
          <w:i/>
          <w:iCs/>
        </w:rPr>
      </w:pPr>
    </w:p>
    <w:p w14:paraId="64A053CE" w14:textId="51D6DA3B" w:rsidR="00165AA9" w:rsidRPr="003B33FD" w:rsidRDefault="00165AA9"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¿Los pagos que deban realizar los prestadores ubicados en el departamento</w:t>
      </w:r>
      <w:r w:rsidR="00B164D2" w:rsidRPr="003B33FD">
        <w:rPr>
          <w:rFonts w:ascii="Verdana" w:hAnsi="Verdana" w:cs="Arial"/>
          <w:b/>
          <w:bCs/>
          <w:i/>
          <w:iCs/>
        </w:rPr>
        <w:t xml:space="preserve"> </w:t>
      </w:r>
      <w:r w:rsidRPr="003B33FD">
        <w:rPr>
          <w:rFonts w:ascii="Verdana" w:hAnsi="Verdana" w:cs="Arial"/>
          <w:b/>
          <w:bCs/>
          <w:i/>
          <w:iCs/>
        </w:rPr>
        <w:t>de</w:t>
      </w:r>
      <w:r w:rsidR="00B164D2" w:rsidRPr="003B33FD">
        <w:rPr>
          <w:rFonts w:ascii="Verdana" w:hAnsi="Verdana" w:cs="Arial"/>
          <w:b/>
          <w:bCs/>
          <w:i/>
          <w:iCs/>
        </w:rPr>
        <w:t xml:space="preserve"> </w:t>
      </w:r>
      <w:r w:rsidRPr="003B33FD">
        <w:rPr>
          <w:rFonts w:ascii="Verdana" w:hAnsi="Verdana" w:cs="Arial"/>
          <w:b/>
          <w:bCs/>
          <w:i/>
          <w:iCs/>
        </w:rPr>
        <w:t>Antioquia por concepto de la Tasa Especial de Seguridad y Convivencia</w:t>
      </w:r>
      <w:r w:rsidR="007B0B98" w:rsidRPr="003B33FD">
        <w:rPr>
          <w:rFonts w:ascii="Verdana" w:hAnsi="Verdana" w:cs="Arial"/>
          <w:b/>
          <w:bCs/>
          <w:i/>
          <w:iCs/>
        </w:rPr>
        <w:t xml:space="preserve"> </w:t>
      </w:r>
      <w:r w:rsidRPr="003B33FD">
        <w:rPr>
          <w:rFonts w:ascii="Verdana" w:hAnsi="Verdana" w:cs="Arial"/>
          <w:b/>
          <w:bCs/>
          <w:i/>
          <w:iCs/>
        </w:rPr>
        <w:t>Ciudadana,</w:t>
      </w:r>
      <w:r w:rsidR="007B0B98" w:rsidRPr="003B33FD">
        <w:rPr>
          <w:rFonts w:ascii="Verdana" w:hAnsi="Verdana" w:cs="Arial"/>
          <w:b/>
          <w:bCs/>
          <w:i/>
          <w:iCs/>
        </w:rPr>
        <w:t xml:space="preserve"> </w:t>
      </w:r>
      <w:r w:rsidRPr="003B33FD">
        <w:rPr>
          <w:rFonts w:ascii="Verdana" w:hAnsi="Verdana" w:cs="Arial"/>
          <w:b/>
          <w:bCs/>
          <w:i/>
          <w:iCs/>
        </w:rPr>
        <w:t>creada mediante la Ordenanza Departamental 50 de 2024, pueden ser</w:t>
      </w:r>
      <w:r w:rsidR="007B0B98" w:rsidRPr="003B33FD">
        <w:rPr>
          <w:rFonts w:ascii="Verdana" w:hAnsi="Verdana" w:cs="Arial"/>
          <w:b/>
          <w:bCs/>
          <w:i/>
          <w:iCs/>
        </w:rPr>
        <w:t xml:space="preserve"> </w:t>
      </w:r>
      <w:r w:rsidRPr="003B33FD">
        <w:rPr>
          <w:rFonts w:ascii="Verdana" w:hAnsi="Verdana" w:cs="Arial"/>
          <w:b/>
          <w:bCs/>
          <w:i/>
          <w:iCs/>
        </w:rPr>
        <w:t>incorporados</w:t>
      </w:r>
      <w:r w:rsidR="007B0B98" w:rsidRPr="003B33FD">
        <w:rPr>
          <w:rFonts w:ascii="Verdana" w:hAnsi="Verdana" w:cs="Arial"/>
          <w:b/>
          <w:bCs/>
          <w:i/>
          <w:iCs/>
        </w:rPr>
        <w:t xml:space="preserve"> </w:t>
      </w:r>
      <w:r w:rsidRPr="003B33FD">
        <w:rPr>
          <w:rFonts w:ascii="Verdana" w:hAnsi="Verdana" w:cs="Arial"/>
          <w:b/>
          <w:bCs/>
          <w:i/>
          <w:iCs/>
        </w:rPr>
        <w:t xml:space="preserve">como un costo reconocido en la tarifa? </w:t>
      </w:r>
    </w:p>
    <w:p w14:paraId="62094497" w14:textId="77777777" w:rsidR="007D57B8" w:rsidRPr="003B33FD" w:rsidRDefault="007D57B8" w:rsidP="00700C35">
      <w:pPr>
        <w:jc w:val="both"/>
        <w:rPr>
          <w:rFonts w:ascii="Verdana" w:hAnsi="Verdana" w:cs="Arial"/>
        </w:rPr>
      </w:pPr>
    </w:p>
    <w:p w14:paraId="3E75290B" w14:textId="77777777" w:rsidR="00970591" w:rsidRPr="003B33FD" w:rsidRDefault="00970591" w:rsidP="00970591">
      <w:pPr>
        <w:jc w:val="both"/>
        <w:rPr>
          <w:rFonts w:ascii="Verdana" w:hAnsi="Verdana" w:cs="Arial"/>
        </w:rPr>
      </w:pPr>
      <w:r w:rsidRPr="003B33FD">
        <w:rPr>
          <w:rFonts w:ascii="Verdana" w:hAnsi="Verdana" w:cs="Arial"/>
        </w:rPr>
        <w:t>La tasa especial de seguridad y convivencia ciudadana, creada mediante la Ordenanza 50 de 2024, no puede ser incorporada como costo para el cobro de la tarifa de los servicios públicos de acueducto y alcantarillado, por cuanto no constituye un costo inherente a la prestación de dichos servicios ni hace parte de los costos económicos de referencia reconocidos en las metodologías tarifarias expedidas por la CRA.</w:t>
      </w:r>
    </w:p>
    <w:p w14:paraId="2FB467AF" w14:textId="77777777" w:rsidR="00970591" w:rsidRPr="003B33FD" w:rsidRDefault="00970591" w:rsidP="00970591">
      <w:pPr>
        <w:jc w:val="both"/>
        <w:rPr>
          <w:rFonts w:ascii="Verdana" w:hAnsi="Verdana" w:cs="Arial"/>
        </w:rPr>
      </w:pPr>
      <w:r w:rsidRPr="003B33FD">
        <w:rPr>
          <w:rFonts w:ascii="Verdana" w:hAnsi="Verdana" w:cs="Arial"/>
        </w:rPr>
        <w:t xml:space="preserve"> </w:t>
      </w:r>
    </w:p>
    <w:p w14:paraId="36FA7280" w14:textId="6D1D9600" w:rsidR="00970591" w:rsidRPr="003B33FD" w:rsidRDefault="00970591" w:rsidP="00970591">
      <w:pPr>
        <w:jc w:val="both"/>
        <w:rPr>
          <w:rFonts w:ascii="Verdana" w:hAnsi="Verdana" w:cs="Arial"/>
        </w:rPr>
      </w:pPr>
      <w:r w:rsidRPr="003B33FD">
        <w:rPr>
          <w:rFonts w:ascii="Verdana" w:hAnsi="Verdana" w:cs="Arial"/>
        </w:rPr>
        <w:lastRenderedPageBreak/>
        <w:t>Lo anterior se fundamenta en que las metodologías tarifarias para acueducto y alcantarillado solo permiten la recuperación, vía tarifa, de costos eficientes directamente asociados a la prestación del servicio, clasificados en costos administrativos, operativos, de inversión y costos derivados de impuestos y tasas ambientales vinculadas a la actividad del servicio. En particular, dentro del Costo Medio de Operación – CMO</w:t>
      </w:r>
      <w:r w:rsidR="00B833F3" w:rsidRPr="003B33FD">
        <w:rPr>
          <w:rFonts w:ascii="Verdana" w:hAnsi="Verdana" w:cs="Arial"/>
        </w:rPr>
        <w:t xml:space="preserve">, además de los costos operativos comparables, </w:t>
      </w:r>
      <w:r w:rsidRPr="003B33FD">
        <w:rPr>
          <w:rFonts w:ascii="Verdana" w:hAnsi="Verdana" w:cs="Arial"/>
        </w:rPr>
        <w:t>se reconocen los costos operativos particulares, como el consumo de energía eléctrica utilizado en los procesos de captación, bombeo, tratamiento y distribución del agua, siempre que correspondan a costos afectos a la prestación del servicio.</w:t>
      </w:r>
    </w:p>
    <w:p w14:paraId="41076EBE" w14:textId="77777777" w:rsidR="00970591" w:rsidRPr="003B33FD" w:rsidRDefault="00970591" w:rsidP="00970591">
      <w:pPr>
        <w:jc w:val="both"/>
        <w:rPr>
          <w:rFonts w:ascii="Verdana" w:hAnsi="Verdana" w:cs="Arial"/>
        </w:rPr>
      </w:pPr>
      <w:r w:rsidRPr="003B33FD">
        <w:rPr>
          <w:rFonts w:ascii="Verdana" w:hAnsi="Verdana" w:cs="Arial"/>
        </w:rPr>
        <w:t xml:space="preserve"> </w:t>
      </w:r>
    </w:p>
    <w:p w14:paraId="6652EF80" w14:textId="77777777" w:rsidR="009C7292" w:rsidRDefault="00970591" w:rsidP="00970591">
      <w:pPr>
        <w:jc w:val="both"/>
        <w:rPr>
          <w:rFonts w:ascii="Verdana" w:hAnsi="Verdana" w:cs="Arial"/>
        </w:rPr>
      </w:pPr>
      <w:r w:rsidRPr="003B33FD">
        <w:rPr>
          <w:rFonts w:ascii="Verdana" w:hAnsi="Verdana" w:cs="Arial"/>
        </w:rPr>
        <w:t xml:space="preserve">Por su parte, la Tasa Especial de Seguridad y Convivencia Ciudadana es un tributo territorial cuya creación, regulación y determinación de sujetos pasivos corresponde a las entidades territoriales en ejercicio de sus competencias y que se genera con ocasión de la suscripción y prestación del servicio de energía eléctrica, según lo previsto en la misma Ordenanza 50 de 2024. </w:t>
      </w:r>
    </w:p>
    <w:p w14:paraId="1F0F2A22" w14:textId="77777777" w:rsidR="009C7292" w:rsidRDefault="009C7292" w:rsidP="00970591">
      <w:pPr>
        <w:jc w:val="both"/>
        <w:rPr>
          <w:rFonts w:ascii="Verdana" w:hAnsi="Verdana" w:cs="Arial"/>
        </w:rPr>
      </w:pPr>
    </w:p>
    <w:p w14:paraId="4961A029" w14:textId="16BB0082" w:rsidR="007D57B8" w:rsidRPr="003B33FD" w:rsidRDefault="00970591" w:rsidP="00970591">
      <w:pPr>
        <w:jc w:val="both"/>
        <w:rPr>
          <w:rFonts w:ascii="Verdana" w:hAnsi="Verdana" w:cs="Arial"/>
        </w:rPr>
      </w:pPr>
      <w:r w:rsidRPr="003B33FD">
        <w:rPr>
          <w:rFonts w:ascii="Verdana" w:hAnsi="Verdana" w:cs="Arial"/>
        </w:rPr>
        <w:t>En consecuencia, aun cuando su recaudo pueda realizarse a través de la factura de servicios públicos, este gravamen no forma parte del régimen tarifario de acueducto y alcantarillado ni constituye un costo operativo, administrativo, de inversión o ambiental asociado a dichos servicios, por lo cual su pago por parte del prestador no configura un supuesto regulatorio que habilite su reconocimiento como costo en la tarifa de acueducto y alcantarillado.</w:t>
      </w:r>
    </w:p>
    <w:p w14:paraId="44639499" w14:textId="77777777" w:rsidR="00B164D2" w:rsidRPr="003B33FD" w:rsidRDefault="00B164D2" w:rsidP="00061C3F">
      <w:pPr>
        <w:jc w:val="both"/>
        <w:rPr>
          <w:rFonts w:ascii="Verdana" w:hAnsi="Verdana" w:cs="Arial"/>
        </w:rPr>
      </w:pPr>
    </w:p>
    <w:p w14:paraId="613DCCF0" w14:textId="66349DD3" w:rsidR="00762533" w:rsidRPr="003B33FD" w:rsidRDefault="00762533"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correcto entender que, siempre que el prestador acredite el pago efectivo y la trazabilidad contable de la Tasa Especial de Seguridad y Convivencia Ciudadana, este concepto puede ser reconocido dentro del componente tarifario Costo Medio de Impuestos, Contribuciones y Tasas (CMICT) bajo la metodología de la Resolución CRA 1032 de 2026?</w:t>
      </w:r>
      <w:r w:rsidR="00B02717" w:rsidRPr="003B33FD">
        <w:rPr>
          <w:rFonts w:ascii="Verdana" w:hAnsi="Verdana" w:cs="Arial"/>
          <w:b/>
          <w:bCs/>
          <w:i/>
          <w:iCs/>
        </w:rPr>
        <w:t xml:space="preserve"> </w:t>
      </w:r>
    </w:p>
    <w:p w14:paraId="0C18DB1E" w14:textId="77777777" w:rsidR="00762533" w:rsidRPr="003B33FD" w:rsidRDefault="00762533" w:rsidP="00762533">
      <w:pPr>
        <w:jc w:val="both"/>
        <w:rPr>
          <w:rFonts w:ascii="Verdana" w:hAnsi="Verdana" w:cs="Arial"/>
        </w:rPr>
      </w:pPr>
    </w:p>
    <w:p w14:paraId="17725CC5" w14:textId="77777777" w:rsidR="00F25BFE" w:rsidRPr="003B33FD" w:rsidRDefault="00F25BFE" w:rsidP="00F25BFE">
      <w:pPr>
        <w:jc w:val="both"/>
        <w:rPr>
          <w:rFonts w:ascii="Verdana" w:hAnsi="Verdana" w:cs="Arial"/>
        </w:rPr>
      </w:pPr>
      <w:r w:rsidRPr="003B33FD">
        <w:rPr>
          <w:rFonts w:ascii="Verdana" w:hAnsi="Verdana" w:cs="Arial"/>
        </w:rPr>
        <w:t>La metodología tarifaria para los servicios de acueducto y alcantarillado reconoce únicamente costos eficientes directamente asociados a su prestación, clasificados en costos administrativos, operativos, de inversión y en costos derivados de impuestos, contribuciones y tasas ambientales que estén vinculadas a la actividad propia de estos servicios.</w:t>
      </w:r>
    </w:p>
    <w:p w14:paraId="195D9CF4" w14:textId="77777777" w:rsidR="00F25BFE" w:rsidRPr="003B33FD" w:rsidRDefault="00F25BFE" w:rsidP="00F25BFE">
      <w:pPr>
        <w:jc w:val="both"/>
        <w:rPr>
          <w:rFonts w:ascii="Verdana" w:hAnsi="Verdana" w:cs="Arial"/>
        </w:rPr>
      </w:pPr>
    </w:p>
    <w:p w14:paraId="375AF6A3" w14:textId="6483CDCB" w:rsidR="00F25BFE" w:rsidRDefault="00B833F3" w:rsidP="00F25BFE">
      <w:pPr>
        <w:jc w:val="both"/>
        <w:rPr>
          <w:rFonts w:ascii="Verdana" w:hAnsi="Verdana" w:cs="Arial"/>
        </w:rPr>
      </w:pPr>
      <w:r w:rsidRPr="003B33FD">
        <w:rPr>
          <w:rFonts w:ascii="Verdana" w:hAnsi="Verdana" w:cs="Arial"/>
        </w:rPr>
        <w:t>L</w:t>
      </w:r>
      <w:r w:rsidR="00F25BFE" w:rsidRPr="003B33FD">
        <w:rPr>
          <w:rFonts w:ascii="Verdana" w:hAnsi="Verdana" w:cs="Arial"/>
        </w:rPr>
        <w:t>a Tasa Especial de Seguridad y Convivencia Ciudadana es un tributo territorial destinado a</w:t>
      </w:r>
      <w:r w:rsidRPr="003B33FD">
        <w:rPr>
          <w:rFonts w:ascii="Verdana" w:hAnsi="Verdana" w:cs="Arial"/>
        </w:rPr>
        <w:t xml:space="preserve"> la</w:t>
      </w:r>
      <w:r w:rsidR="00F25BFE" w:rsidRPr="003B33FD">
        <w:rPr>
          <w:rFonts w:ascii="Verdana" w:hAnsi="Verdana" w:cs="Arial"/>
        </w:rPr>
        <w:t xml:space="preserve"> </w:t>
      </w:r>
      <w:r w:rsidRPr="003B33FD">
        <w:rPr>
          <w:rFonts w:ascii="Verdana" w:hAnsi="Verdana" w:cs="Arial"/>
        </w:rPr>
        <w:t>financiación de</w:t>
      </w:r>
      <w:r w:rsidR="00F25BFE" w:rsidRPr="003B33FD">
        <w:rPr>
          <w:rFonts w:ascii="Verdana" w:hAnsi="Verdana" w:cs="Arial"/>
        </w:rPr>
        <w:t xml:space="preserve"> programas y acciones de seguridad y convivencia ciudadana, cuyo hecho generador se encuentra asociado a la suscripción y prestación </w:t>
      </w:r>
      <w:r w:rsidR="00F25BFE" w:rsidRPr="003B33FD">
        <w:rPr>
          <w:rFonts w:ascii="Verdana" w:hAnsi="Verdana" w:cs="Arial"/>
        </w:rPr>
        <w:lastRenderedPageBreak/>
        <w:t xml:space="preserve">del servicio público domiciliario de energía eléctrica. En esa medida, la obligación tributaria no </w:t>
      </w:r>
      <w:r w:rsidRPr="003B33FD">
        <w:rPr>
          <w:rFonts w:ascii="Verdana" w:hAnsi="Verdana" w:cs="Arial"/>
        </w:rPr>
        <w:t xml:space="preserve">se origina en </w:t>
      </w:r>
      <w:r w:rsidR="00F25BFE" w:rsidRPr="003B33FD">
        <w:rPr>
          <w:rFonts w:ascii="Verdana" w:hAnsi="Verdana" w:cs="Arial"/>
        </w:rPr>
        <w:t>la prestación de acueducto y alcantarillado, aun cuando su recaudo pueda realizarse a través de la factura de servicios públicos.</w:t>
      </w:r>
    </w:p>
    <w:p w14:paraId="3810D94C" w14:textId="77777777" w:rsidR="009C7292" w:rsidRPr="003B33FD" w:rsidRDefault="009C7292" w:rsidP="00F25BFE">
      <w:pPr>
        <w:jc w:val="both"/>
        <w:rPr>
          <w:rFonts w:ascii="Verdana" w:hAnsi="Verdana" w:cs="Arial"/>
        </w:rPr>
      </w:pPr>
    </w:p>
    <w:p w14:paraId="0BD8662E" w14:textId="36C7824C" w:rsidR="00762533" w:rsidRPr="003B33FD" w:rsidRDefault="00F25BFE" w:rsidP="00F25BFE">
      <w:pPr>
        <w:jc w:val="both"/>
        <w:rPr>
          <w:rFonts w:ascii="Verdana" w:hAnsi="Verdana" w:cs="Arial"/>
        </w:rPr>
      </w:pPr>
      <w:r w:rsidRPr="003B33FD">
        <w:rPr>
          <w:rFonts w:ascii="Verdana" w:hAnsi="Verdana" w:cs="Arial"/>
        </w:rPr>
        <w:t>En consecuencia, no es correcto entender que la Tasa Especial de Seguridad y Convivencia Ciudadana, aun cuando el prestador acredite su pago efectivo y la correspondiente trazabilidad contable, pueda ser reconocida dentro del componente Costo Medio de Impuestos, Contribuciones y Tasas (CMICT) de la metodología establecida en la Resolución CRA 1032 de 2026.</w:t>
      </w:r>
    </w:p>
    <w:p w14:paraId="77ABAF59" w14:textId="77777777" w:rsidR="00061C3F" w:rsidRPr="003B33FD" w:rsidRDefault="00061C3F" w:rsidP="00700C35">
      <w:pPr>
        <w:jc w:val="both"/>
        <w:rPr>
          <w:rFonts w:ascii="Verdana" w:hAnsi="Verdana" w:cs="Arial"/>
        </w:rPr>
      </w:pPr>
    </w:p>
    <w:p w14:paraId="51206177" w14:textId="41697617" w:rsidR="00700C35" w:rsidRPr="003B33FD" w:rsidRDefault="007C180B" w:rsidP="008D6C21">
      <w:pPr>
        <w:pStyle w:val="Prrafodelista"/>
        <w:numPr>
          <w:ilvl w:val="0"/>
          <w:numId w:val="9"/>
        </w:numPr>
        <w:ind w:left="567" w:hanging="283"/>
        <w:jc w:val="both"/>
        <w:rPr>
          <w:rFonts w:ascii="Verdana" w:hAnsi="Verdana" w:cs="Arial"/>
          <w:b/>
          <w:bCs/>
          <w:i/>
          <w:iCs/>
        </w:rPr>
      </w:pPr>
      <w:r w:rsidRPr="003B33FD">
        <w:rPr>
          <w:rFonts w:ascii="Verdana" w:hAnsi="Verdana" w:cs="Arial"/>
          <w:b/>
          <w:bCs/>
          <w:i/>
          <w:iCs/>
        </w:rPr>
        <w:t>Descuento anticipado de impuestos, contribuciones y tasas</w:t>
      </w:r>
    </w:p>
    <w:p w14:paraId="7F7F9A72" w14:textId="77777777" w:rsidR="00700C35" w:rsidRPr="003B33FD" w:rsidRDefault="00700C35" w:rsidP="009C5478">
      <w:pPr>
        <w:ind w:left="284"/>
        <w:jc w:val="both"/>
        <w:rPr>
          <w:rFonts w:ascii="Verdana" w:hAnsi="Verdana" w:cs="Arial"/>
          <w:b/>
          <w:bCs/>
          <w:i/>
          <w:iCs/>
        </w:rPr>
      </w:pPr>
    </w:p>
    <w:p w14:paraId="501187BA" w14:textId="43483D95" w:rsidR="00E01426" w:rsidRPr="003B33FD" w:rsidRDefault="00E01426"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correcto entender que, para efectos tarifarios, el valor remanente a reconocer corresponde al costo neto efectivamente incurrido por el prestador, después de las deducciones o descuentos tributarios originados en el mismo ejercicio fiscal, independientemente de que su efecto se materialice en la declaración de renta de la vigencia siguiente?</w:t>
      </w:r>
    </w:p>
    <w:p w14:paraId="19DE2455" w14:textId="77777777" w:rsidR="00EB4A7E" w:rsidRPr="003B33FD" w:rsidRDefault="00EB4A7E" w:rsidP="00EB4A7E">
      <w:pPr>
        <w:jc w:val="both"/>
        <w:rPr>
          <w:rFonts w:ascii="Verdana" w:hAnsi="Verdana" w:cs="Arial"/>
        </w:rPr>
      </w:pPr>
    </w:p>
    <w:p w14:paraId="565FC3F2" w14:textId="630D8CC4" w:rsidR="00EB4A7E" w:rsidRPr="003B33FD" w:rsidRDefault="00EB4A7E" w:rsidP="00EB4A7E">
      <w:pPr>
        <w:jc w:val="both"/>
        <w:rPr>
          <w:rFonts w:ascii="Verdana" w:hAnsi="Verdana" w:cs="Arial"/>
        </w:rPr>
      </w:pPr>
      <w:r w:rsidRPr="003B33FD">
        <w:rPr>
          <w:rFonts w:ascii="Verdana" w:hAnsi="Verdana" w:cs="Arial"/>
        </w:rPr>
        <w:t>Para efectos tarifarios, y en particular respecto del componente Costo Medio de Impuestos, Contribuciones y Tasas (CMICT), el valor remanente a reconocer corresponde al costo neto efectivamente incurrido y pagado por la persona prestadora, siempre que dicho valor se encuentre registrado en la contabilidad del ejercicio fiscal de referencia como costo o gasto asociado a impuestos, contribuciones y tasas directamente vinculadas a la prestación de los servicios de acueducto y alcantarillado, una vez aplicadas en ese mismo periodo las deducciones o descuentos que se reconozcan contablemente como menor costo o menor gasto.</w:t>
      </w:r>
    </w:p>
    <w:p w14:paraId="32ED0251" w14:textId="77777777" w:rsidR="00EB4A7E" w:rsidRPr="003B33FD" w:rsidRDefault="00EB4A7E" w:rsidP="00EB4A7E">
      <w:pPr>
        <w:jc w:val="both"/>
        <w:rPr>
          <w:rFonts w:ascii="Verdana" w:hAnsi="Verdana" w:cs="Arial"/>
        </w:rPr>
      </w:pPr>
    </w:p>
    <w:p w14:paraId="03BFE0E0" w14:textId="77777777" w:rsidR="009C7292" w:rsidRDefault="00EB4A7E" w:rsidP="00EB4A7E">
      <w:pPr>
        <w:jc w:val="both"/>
        <w:rPr>
          <w:rFonts w:ascii="Verdana" w:hAnsi="Verdana" w:cs="Arial"/>
        </w:rPr>
      </w:pPr>
      <w:r w:rsidRPr="003B33FD">
        <w:rPr>
          <w:rFonts w:ascii="Verdana" w:hAnsi="Verdana" w:cs="Arial"/>
        </w:rPr>
        <w:t xml:space="preserve">En consecuencia, cuando una obligación incluida en el CMICT se ve reducida, en el mismo ejercicio, por descuentos o deducciones que rebajan su valor contable, el costo a reconocer es el importe neto que permanece como gasto del servicio después de tales ajustes. </w:t>
      </w:r>
    </w:p>
    <w:p w14:paraId="13B08A25" w14:textId="77777777" w:rsidR="009C7292" w:rsidRDefault="009C7292" w:rsidP="00EB4A7E">
      <w:pPr>
        <w:jc w:val="both"/>
        <w:rPr>
          <w:rFonts w:ascii="Verdana" w:hAnsi="Verdana" w:cs="Arial"/>
        </w:rPr>
      </w:pPr>
    </w:p>
    <w:p w14:paraId="31AE3606" w14:textId="7322A8BF" w:rsidR="00E01426" w:rsidRPr="003B33FD" w:rsidRDefault="00EB4A7E" w:rsidP="00EB4A7E">
      <w:pPr>
        <w:jc w:val="both"/>
        <w:rPr>
          <w:rFonts w:ascii="Verdana" w:hAnsi="Verdana" w:cs="Arial"/>
        </w:rPr>
      </w:pPr>
      <w:r w:rsidRPr="003B33FD">
        <w:rPr>
          <w:rFonts w:ascii="Verdana" w:hAnsi="Verdana" w:cs="Arial"/>
        </w:rPr>
        <w:t xml:space="preserve">Por el contrario, los beneficios de naturaleza tributaria cuyo impacto se materializa exclusivamente en la declaración de renta de vigencias posteriores, mediante la disminución de la base gravable o del impuesto a cargo, sin reflejarse como menor costo o gasto en la contabilidad del ejercicio en que se realiza el pago de la obligación, no modifican el valor del costo a reconocer en el CMICT. En estos casos, el componente tarifario se construye sobre el valor contable efectivamente pagado en </w:t>
      </w:r>
      <w:r w:rsidRPr="003B33FD">
        <w:rPr>
          <w:rFonts w:ascii="Verdana" w:hAnsi="Verdana" w:cs="Arial"/>
        </w:rPr>
        <w:lastRenderedPageBreak/>
        <w:t>el año base, sin incorporar efectos tributarios diferidos que actúan sobre la carga fiscal global del prestador, pero no sobre el costo del servicio.</w:t>
      </w:r>
    </w:p>
    <w:p w14:paraId="3EEF3D3D" w14:textId="77777777" w:rsidR="002A0FC0" w:rsidRPr="003B33FD" w:rsidRDefault="002A0FC0" w:rsidP="00F30A19">
      <w:pPr>
        <w:jc w:val="both"/>
        <w:rPr>
          <w:rFonts w:ascii="Verdana" w:hAnsi="Verdana" w:cs="Arial"/>
        </w:rPr>
      </w:pPr>
    </w:p>
    <w:p w14:paraId="74B36110" w14:textId="0BAF6777" w:rsidR="00E01426" w:rsidRPr="003B33FD" w:rsidRDefault="00E01426"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En caso de que la Comisión considere que el descuento anticipado de las</w:t>
      </w:r>
      <w:r w:rsidR="00AC0DD4" w:rsidRPr="003B33FD">
        <w:rPr>
          <w:rFonts w:ascii="Verdana" w:hAnsi="Verdana" w:cs="Arial"/>
          <w:b/>
          <w:bCs/>
          <w:i/>
          <w:iCs/>
        </w:rPr>
        <w:t xml:space="preserve"> </w:t>
      </w:r>
      <w:r w:rsidRPr="003B33FD">
        <w:rPr>
          <w:rFonts w:ascii="Verdana" w:hAnsi="Verdana" w:cs="Arial"/>
          <w:b/>
          <w:bCs/>
          <w:i/>
          <w:iCs/>
        </w:rPr>
        <w:t>deducciones o descuentos tributarios no procede, ¿cuál debe ser el tratamiento</w:t>
      </w:r>
      <w:r w:rsidR="00AC0DD4" w:rsidRPr="003B33FD">
        <w:rPr>
          <w:rFonts w:ascii="Verdana" w:hAnsi="Verdana" w:cs="Arial"/>
          <w:b/>
          <w:bCs/>
          <w:i/>
          <w:iCs/>
        </w:rPr>
        <w:t xml:space="preserve"> </w:t>
      </w:r>
      <w:r w:rsidRPr="003B33FD">
        <w:rPr>
          <w:rFonts w:ascii="Verdana" w:hAnsi="Verdana" w:cs="Arial"/>
          <w:b/>
          <w:bCs/>
          <w:i/>
          <w:iCs/>
        </w:rPr>
        <w:t>metodológico aplicable para evitar que se traslade a tarifa un valor superior al</w:t>
      </w:r>
      <w:r w:rsidR="00AC0DD4" w:rsidRPr="003B33FD">
        <w:rPr>
          <w:rFonts w:ascii="Verdana" w:hAnsi="Verdana" w:cs="Arial"/>
          <w:b/>
          <w:bCs/>
          <w:i/>
          <w:iCs/>
        </w:rPr>
        <w:t xml:space="preserve"> </w:t>
      </w:r>
      <w:r w:rsidRPr="003B33FD">
        <w:rPr>
          <w:rFonts w:ascii="Verdana" w:hAnsi="Verdana" w:cs="Arial"/>
          <w:b/>
          <w:bCs/>
          <w:i/>
          <w:iCs/>
        </w:rPr>
        <w:t>costo</w:t>
      </w:r>
      <w:r w:rsidR="00AC0DD4" w:rsidRPr="003B33FD">
        <w:rPr>
          <w:rFonts w:ascii="Verdana" w:hAnsi="Verdana" w:cs="Arial"/>
          <w:b/>
          <w:bCs/>
          <w:i/>
          <w:iCs/>
        </w:rPr>
        <w:t xml:space="preserve"> </w:t>
      </w:r>
      <w:r w:rsidRPr="003B33FD">
        <w:rPr>
          <w:rFonts w:ascii="Verdana" w:hAnsi="Verdana" w:cs="Arial"/>
          <w:b/>
          <w:bCs/>
          <w:i/>
          <w:iCs/>
        </w:rPr>
        <w:t>económico neto efectivamente incurrido por el prestador, o que se genere</w:t>
      </w:r>
      <w:r w:rsidR="00AC0DD4" w:rsidRPr="003B33FD">
        <w:rPr>
          <w:rFonts w:ascii="Verdana" w:hAnsi="Verdana" w:cs="Arial"/>
          <w:b/>
          <w:bCs/>
          <w:i/>
          <w:iCs/>
        </w:rPr>
        <w:t xml:space="preserve"> </w:t>
      </w:r>
      <w:r w:rsidRPr="003B33FD">
        <w:rPr>
          <w:rFonts w:ascii="Verdana" w:hAnsi="Verdana" w:cs="Arial"/>
          <w:b/>
          <w:bCs/>
          <w:i/>
          <w:iCs/>
        </w:rPr>
        <w:t>una duplicidad</w:t>
      </w:r>
      <w:r w:rsidR="00AC0DD4" w:rsidRPr="003B33FD">
        <w:rPr>
          <w:rFonts w:ascii="Verdana" w:hAnsi="Verdana" w:cs="Arial"/>
          <w:b/>
          <w:bCs/>
          <w:i/>
          <w:iCs/>
        </w:rPr>
        <w:t xml:space="preserve"> </w:t>
      </w:r>
      <w:r w:rsidRPr="003B33FD">
        <w:rPr>
          <w:rFonts w:ascii="Verdana" w:hAnsi="Verdana" w:cs="Arial"/>
          <w:b/>
          <w:bCs/>
          <w:i/>
          <w:iCs/>
        </w:rPr>
        <w:t>en el reconocimiento tarifario de impuestos, tasas y</w:t>
      </w:r>
      <w:r w:rsidR="00AC0DD4" w:rsidRPr="003B33FD">
        <w:rPr>
          <w:rFonts w:ascii="Verdana" w:hAnsi="Verdana" w:cs="Arial"/>
          <w:b/>
          <w:bCs/>
          <w:i/>
          <w:iCs/>
        </w:rPr>
        <w:t xml:space="preserve"> </w:t>
      </w:r>
      <w:r w:rsidRPr="003B33FD">
        <w:rPr>
          <w:rFonts w:ascii="Verdana" w:hAnsi="Verdana" w:cs="Arial"/>
          <w:b/>
          <w:bCs/>
          <w:i/>
          <w:iCs/>
        </w:rPr>
        <w:t>contribuciones?</w:t>
      </w:r>
      <w:r w:rsidR="00B02717" w:rsidRPr="003B33FD">
        <w:t xml:space="preserve"> </w:t>
      </w:r>
    </w:p>
    <w:p w14:paraId="6B0C631B" w14:textId="77777777" w:rsidR="00A4245E" w:rsidRPr="003B33FD" w:rsidRDefault="00A4245E" w:rsidP="00F30A19">
      <w:pPr>
        <w:jc w:val="both"/>
        <w:rPr>
          <w:rFonts w:ascii="Verdana" w:hAnsi="Verdana" w:cs="Arial"/>
        </w:rPr>
      </w:pPr>
    </w:p>
    <w:p w14:paraId="71D8744B" w14:textId="6929812C" w:rsidR="009050E5" w:rsidRPr="003B33FD" w:rsidRDefault="009050E5" w:rsidP="009050E5">
      <w:pPr>
        <w:jc w:val="both"/>
        <w:rPr>
          <w:rFonts w:ascii="Verdana" w:hAnsi="Verdana" w:cs="Arial"/>
        </w:rPr>
      </w:pPr>
      <w:r w:rsidRPr="003B33FD">
        <w:rPr>
          <w:rFonts w:ascii="Verdana" w:hAnsi="Verdana" w:cs="Arial"/>
        </w:rPr>
        <w:t>El tratamiento metodológico aplicable consiste en tomar, para efectos tarifarios, el valor de los impuestos, contribuciones y tasas efectivamente pagados por el prestador en el ejercicio de referencia, tal como se encuentran registrados en su contabilidad, es decir, netos de las deducciones o descuentos que en ese mismo periodo se hayan reconocido como menor valor del costo o del gasto, conforme al marco contable vigente y a la información reportada al SUI.</w:t>
      </w:r>
      <w:r w:rsidR="003B33FD">
        <w:rPr>
          <w:rFonts w:ascii="Verdana" w:hAnsi="Verdana" w:cs="Arial"/>
        </w:rPr>
        <w:t xml:space="preserve"> </w:t>
      </w:r>
      <w:r w:rsidRPr="003B33FD">
        <w:rPr>
          <w:rFonts w:ascii="Verdana" w:hAnsi="Verdana" w:cs="Arial"/>
        </w:rPr>
        <w:t>De esta manera, el CMICT se construye exclusivamente sobre el monto pagado que permanece como costo en la contabilidad del prestador, una vez aplicados los descuentos o deducciones contabilizados en el mismo ejercicio.</w:t>
      </w:r>
    </w:p>
    <w:p w14:paraId="17F25C22" w14:textId="77777777" w:rsidR="009050E5" w:rsidRPr="003B33FD" w:rsidRDefault="009050E5" w:rsidP="009050E5">
      <w:pPr>
        <w:jc w:val="both"/>
        <w:rPr>
          <w:rFonts w:ascii="Verdana" w:hAnsi="Verdana" w:cs="Arial"/>
        </w:rPr>
      </w:pPr>
    </w:p>
    <w:p w14:paraId="01C95EB2" w14:textId="762F9FAA" w:rsidR="00A4245E" w:rsidRPr="003B33FD" w:rsidRDefault="000C77B8" w:rsidP="009050E5">
      <w:pPr>
        <w:jc w:val="both"/>
        <w:rPr>
          <w:rFonts w:ascii="Verdana" w:hAnsi="Verdana" w:cs="Arial"/>
        </w:rPr>
      </w:pPr>
      <w:r w:rsidRPr="003B33FD">
        <w:rPr>
          <w:rFonts w:ascii="Verdana" w:hAnsi="Verdana" w:cs="Arial"/>
        </w:rPr>
        <w:t xml:space="preserve">Se reitera que </w:t>
      </w:r>
      <w:r w:rsidR="009050E5" w:rsidRPr="003B33FD">
        <w:rPr>
          <w:rFonts w:ascii="Verdana" w:hAnsi="Verdana" w:cs="Arial"/>
        </w:rPr>
        <w:t>los beneficios tributarios cuyo efecto solo se materializa</w:t>
      </w:r>
      <w:r w:rsidRPr="003B33FD">
        <w:rPr>
          <w:rFonts w:ascii="Verdana" w:hAnsi="Verdana" w:cs="Arial"/>
        </w:rPr>
        <w:t>n</w:t>
      </w:r>
      <w:r w:rsidR="009050E5" w:rsidRPr="003B33FD">
        <w:rPr>
          <w:rFonts w:ascii="Verdana" w:hAnsi="Verdana" w:cs="Arial"/>
        </w:rPr>
        <w:t xml:space="preserve"> en la declaración de renta de vigencias posteriores sin reflejarse como menor costo o gasto en el ejercicio en el cual se realiza el pago de la obligación, no modifican el costo reconocido en la metodología tarifaria. </w:t>
      </w:r>
    </w:p>
    <w:p w14:paraId="517EE94D" w14:textId="77777777" w:rsidR="00AC0DD4" w:rsidRPr="003B33FD" w:rsidRDefault="00AC0DD4" w:rsidP="00F30A19">
      <w:pPr>
        <w:jc w:val="both"/>
        <w:rPr>
          <w:rFonts w:ascii="Verdana" w:hAnsi="Verdana" w:cs="Arial"/>
        </w:rPr>
      </w:pPr>
    </w:p>
    <w:p w14:paraId="1F5F9669" w14:textId="320E794D" w:rsidR="006F3424" w:rsidRPr="003B33FD" w:rsidRDefault="00E01426" w:rsidP="00F30A19">
      <w:pPr>
        <w:pStyle w:val="Prrafodelista"/>
        <w:numPr>
          <w:ilvl w:val="1"/>
          <w:numId w:val="9"/>
        </w:numPr>
        <w:ind w:left="851" w:hanging="567"/>
        <w:jc w:val="both"/>
        <w:rPr>
          <w:rFonts w:ascii="Verdana" w:hAnsi="Verdana" w:cs="Arial"/>
          <w:b/>
          <w:bCs/>
          <w:i/>
          <w:iCs/>
        </w:rPr>
      </w:pPr>
      <w:r w:rsidRPr="003B33FD">
        <w:rPr>
          <w:rFonts w:ascii="Verdana" w:hAnsi="Verdana" w:cs="Arial"/>
          <w:b/>
          <w:bCs/>
          <w:i/>
          <w:iCs/>
        </w:rPr>
        <w:t>Para el periodo de inicio de aplicación tarifaria correspondiente a julio</w:t>
      </w:r>
      <w:r w:rsidR="00AC0DD4" w:rsidRPr="003B33FD">
        <w:rPr>
          <w:rFonts w:ascii="Verdana" w:hAnsi="Verdana" w:cs="Arial"/>
          <w:b/>
          <w:bCs/>
          <w:i/>
          <w:iCs/>
        </w:rPr>
        <w:t xml:space="preserve"> </w:t>
      </w:r>
      <w:r w:rsidRPr="003B33FD">
        <w:rPr>
          <w:rFonts w:ascii="Verdana" w:hAnsi="Verdana" w:cs="Arial"/>
          <w:b/>
          <w:bCs/>
          <w:i/>
          <w:iCs/>
        </w:rPr>
        <w:t>diciembre de</w:t>
      </w:r>
      <w:r w:rsidR="00AC0DD4" w:rsidRPr="003B33FD">
        <w:rPr>
          <w:rFonts w:ascii="Verdana" w:hAnsi="Verdana" w:cs="Arial"/>
          <w:b/>
          <w:bCs/>
          <w:i/>
          <w:iCs/>
        </w:rPr>
        <w:t xml:space="preserve"> </w:t>
      </w:r>
      <w:r w:rsidRPr="003B33FD">
        <w:rPr>
          <w:rFonts w:ascii="Verdana" w:hAnsi="Verdana" w:cs="Arial"/>
          <w:b/>
          <w:bCs/>
          <w:i/>
          <w:iCs/>
        </w:rPr>
        <w:t>2026, ¿es correcto calcular el valor a trasladar a tarifa tomando</w:t>
      </w:r>
      <w:r w:rsidR="00AC0DD4" w:rsidRPr="003B33FD">
        <w:rPr>
          <w:rFonts w:ascii="Verdana" w:hAnsi="Verdana" w:cs="Arial"/>
          <w:b/>
          <w:bCs/>
          <w:i/>
          <w:iCs/>
        </w:rPr>
        <w:t xml:space="preserve"> </w:t>
      </w:r>
      <w:r w:rsidRPr="003B33FD">
        <w:rPr>
          <w:rFonts w:ascii="Verdana" w:hAnsi="Verdana" w:cs="Arial"/>
          <w:b/>
          <w:bCs/>
          <w:i/>
          <w:iCs/>
        </w:rPr>
        <w:t>como base los valores</w:t>
      </w:r>
      <w:r w:rsidR="00AC0DD4" w:rsidRPr="003B33FD">
        <w:rPr>
          <w:rFonts w:ascii="Verdana" w:hAnsi="Verdana" w:cs="Arial"/>
          <w:b/>
          <w:bCs/>
          <w:i/>
          <w:iCs/>
        </w:rPr>
        <w:t xml:space="preserve"> </w:t>
      </w:r>
      <w:r w:rsidRPr="003B33FD">
        <w:rPr>
          <w:rFonts w:ascii="Verdana" w:hAnsi="Verdana" w:cs="Arial"/>
          <w:b/>
          <w:bCs/>
          <w:i/>
          <w:iCs/>
        </w:rPr>
        <w:t>efectivamente pagados durante la vigencia 2025,</w:t>
      </w:r>
      <w:r w:rsidR="00AC0DD4" w:rsidRPr="003B33FD">
        <w:rPr>
          <w:rFonts w:ascii="Verdana" w:hAnsi="Verdana" w:cs="Arial"/>
          <w:b/>
          <w:bCs/>
          <w:i/>
          <w:iCs/>
        </w:rPr>
        <w:t xml:space="preserve"> </w:t>
      </w:r>
      <w:r w:rsidRPr="003B33FD">
        <w:rPr>
          <w:rFonts w:ascii="Verdana" w:hAnsi="Verdana" w:cs="Arial"/>
          <w:b/>
          <w:bCs/>
          <w:i/>
          <w:iCs/>
        </w:rPr>
        <w:t>descontando las deducciones o</w:t>
      </w:r>
      <w:r w:rsidR="00AC0DD4" w:rsidRPr="003B33FD">
        <w:rPr>
          <w:rFonts w:ascii="Verdana" w:hAnsi="Verdana" w:cs="Arial"/>
          <w:b/>
          <w:bCs/>
          <w:i/>
          <w:iCs/>
        </w:rPr>
        <w:t xml:space="preserve"> </w:t>
      </w:r>
      <w:r w:rsidRPr="003B33FD">
        <w:rPr>
          <w:rFonts w:ascii="Verdana" w:hAnsi="Verdana" w:cs="Arial"/>
          <w:b/>
          <w:bCs/>
          <w:i/>
          <w:iCs/>
        </w:rPr>
        <w:t>descuentos tributarios originados en esa misma</w:t>
      </w:r>
      <w:r w:rsidR="00AC0DD4" w:rsidRPr="003B33FD">
        <w:rPr>
          <w:rFonts w:ascii="Verdana" w:hAnsi="Verdana" w:cs="Arial"/>
          <w:b/>
          <w:bCs/>
          <w:i/>
          <w:iCs/>
        </w:rPr>
        <w:t xml:space="preserve"> </w:t>
      </w:r>
      <w:r w:rsidRPr="003B33FD">
        <w:rPr>
          <w:rFonts w:ascii="Verdana" w:hAnsi="Verdana" w:cs="Arial"/>
          <w:b/>
          <w:bCs/>
          <w:i/>
          <w:iCs/>
        </w:rPr>
        <w:t>vigencia fiscal y reflejados en la</w:t>
      </w:r>
      <w:r w:rsidR="00AC0DD4" w:rsidRPr="003B33FD">
        <w:rPr>
          <w:rFonts w:ascii="Verdana" w:hAnsi="Verdana" w:cs="Arial"/>
          <w:b/>
          <w:bCs/>
          <w:i/>
          <w:iCs/>
        </w:rPr>
        <w:t xml:space="preserve"> </w:t>
      </w:r>
      <w:r w:rsidRPr="003B33FD">
        <w:rPr>
          <w:rFonts w:ascii="Verdana" w:hAnsi="Verdana" w:cs="Arial"/>
          <w:b/>
          <w:bCs/>
          <w:i/>
          <w:iCs/>
        </w:rPr>
        <w:t>declaración de renta presentada en 2026?</w:t>
      </w:r>
      <w:r w:rsidR="00B02717" w:rsidRPr="003B33FD">
        <w:rPr>
          <w:rFonts w:ascii="Verdana" w:hAnsi="Verdana" w:cs="Arial"/>
          <w:b/>
          <w:bCs/>
          <w:i/>
          <w:iCs/>
        </w:rPr>
        <w:t xml:space="preserve"> </w:t>
      </w:r>
    </w:p>
    <w:p w14:paraId="2009C670" w14:textId="77777777" w:rsidR="00A33783" w:rsidRPr="003B33FD" w:rsidRDefault="00A33783" w:rsidP="00A33783">
      <w:pPr>
        <w:jc w:val="both"/>
        <w:rPr>
          <w:rFonts w:ascii="Verdana" w:hAnsi="Verdana" w:cs="Arial"/>
        </w:rPr>
      </w:pPr>
    </w:p>
    <w:p w14:paraId="061668DB" w14:textId="0FD957CB" w:rsidR="00A33783" w:rsidRPr="003B33FD" w:rsidRDefault="00A33783" w:rsidP="00A33783">
      <w:pPr>
        <w:jc w:val="both"/>
        <w:rPr>
          <w:rFonts w:ascii="Verdana" w:hAnsi="Verdana" w:cs="Arial"/>
        </w:rPr>
      </w:pPr>
      <w:r w:rsidRPr="003B33FD">
        <w:rPr>
          <w:rFonts w:ascii="Verdana" w:hAnsi="Verdana" w:cs="Arial"/>
        </w:rPr>
        <w:t xml:space="preserve">Para el periodo de inicio de aplicación tarifaria julio–diciembre de 2026, no es correcto calcular el valor a trasladar a tarifa tomando los pagos efectuados en 2025 y restando las deducciones o descuentos tributarios cuyo efecto se reconoce únicamente en la declaración de renta presentada en 2026. </w:t>
      </w:r>
    </w:p>
    <w:p w14:paraId="24C15979" w14:textId="77777777" w:rsidR="00A33783" w:rsidRPr="003B33FD" w:rsidRDefault="00A33783" w:rsidP="00A33783">
      <w:pPr>
        <w:jc w:val="both"/>
        <w:rPr>
          <w:rFonts w:ascii="Verdana" w:hAnsi="Verdana" w:cs="Arial"/>
        </w:rPr>
      </w:pPr>
    </w:p>
    <w:p w14:paraId="189C868A" w14:textId="7391196B" w:rsidR="009C5478" w:rsidRPr="003B33FD" w:rsidRDefault="00A33783" w:rsidP="00A33783">
      <w:pPr>
        <w:jc w:val="both"/>
        <w:rPr>
          <w:rFonts w:ascii="Verdana" w:hAnsi="Verdana" w:cs="Arial"/>
        </w:rPr>
      </w:pPr>
      <w:r w:rsidRPr="003B33FD">
        <w:rPr>
          <w:rFonts w:ascii="Verdana" w:hAnsi="Verdana" w:cs="Arial"/>
        </w:rPr>
        <w:t xml:space="preserve">El valor </w:t>
      </w:r>
      <w:r w:rsidR="00C255DA" w:rsidRPr="003B33FD">
        <w:rPr>
          <w:rFonts w:ascii="Verdana" w:hAnsi="Verdana" w:cs="Arial"/>
        </w:rPr>
        <w:t>que se traslada</w:t>
      </w:r>
      <w:r w:rsidRPr="003B33FD">
        <w:rPr>
          <w:rFonts w:ascii="Verdana" w:hAnsi="Verdana" w:cs="Arial"/>
        </w:rPr>
        <w:t xml:space="preserve"> a tarifa debe corresponder al costo que figure en la contabilidad del año 2025, esto es, al monto efectivamente pagado y registrado como </w:t>
      </w:r>
      <w:r w:rsidRPr="003B33FD">
        <w:rPr>
          <w:rFonts w:ascii="Verdana" w:hAnsi="Verdana" w:cs="Arial"/>
        </w:rPr>
        <w:lastRenderedPageBreak/>
        <w:t xml:space="preserve">impuesto, contribución o tasa asociada al servicio, neto únicamente de los descuentos que en esa misma vigencia se hayan contabilizado como </w:t>
      </w:r>
      <w:proofErr w:type="gramStart"/>
      <w:r w:rsidRPr="003B33FD">
        <w:rPr>
          <w:rFonts w:ascii="Verdana" w:hAnsi="Verdana" w:cs="Arial"/>
        </w:rPr>
        <w:t>menor costo o menor gasto</w:t>
      </w:r>
      <w:proofErr w:type="gramEnd"/>
      <w:r w:rsidRPr="003B33FD">
        <w:rPr>
          <w:rFonts w:ascii="Verdana" w:hAnsi="Verdana" w:cs="Arial"/>
        </w:rPr>
        <w:t>. De esta forma, el componente CMICT refleja el costo económico efectivamente incurrido por el prestador y se evita ajustar la tarifa con beneficios tributarios diferidos que operan sobre la renta, pero no sobre el costo contable del servicio.</w:t>
      </w:r>
    </w:p>
    <w:p w14:paraId="473B5CCF" w14:textId="77777777" w:rsidR="009C5478" w:rsidRPr="003B33FD" w:rsidRDefault="009C5478" w:rsidP="004E7521">
      <w:pPr>
        <w:jc w:val="both"/>
        <w:rPr>
          <w:rFonts w:ascii="Verdana" w:hAnsi="Verdana" w:cs="Arial"/>
        </w:rPr>
      </w:pPr>
    </w:p>
    <w:p w14:paraId="2EFFC51A" w14:textId="0D465AF3" w:rsidR="00805EFF" w:rsidRPr="003B33FD" w:rsidRDefault="00805EFF" w:rsidP="009563FE">
      <w:pPr>
        <w:pStyle w:val="Prrafodelista"/>
        <w:numPr>
          <w:ilvl w:val="0"/>
          <w:numId w:val="9"/>
        </w:numPr>
        <w:ind w:left="567" w:hanging="283"/>
        <w:jc w:val="both"/>
        <w:rPr>
          <w:rFonts w:ascii="Verdana" w:hAnsi="Verdana" w:cs="Arial"/>
          <w:b/>
          <w:bCs/>
          <w:i/>
          <w:iCs/>
        </w:rPr>
      </w:pPr>
      <w:r w:rsidRPr="003B33FD">
        <w:rPr>
          <w:rFonts w:ascii="Verdana" w:hAnsi="Verdana" w:cs="Arial"/>
          <w:b/>
          <w:bCs/>
          <w:i/>
          <w:iCs/>
        </w:rPr>
        <w:t>Costos comparables que deben ser excluidos para el cálculo del DEA – Análisis Envolvente de Datos</w:t>
      </w:r>
    </w:p>
    <w:p w14:paraId="0F8296ED" w14:textId="77777777" w:rsidR="009644D2" w:rsidRPr="003B33FD" w:rsidRDefault="009644D2" w:rsidP="009644D2">
      <w:pPr>
        <w:jc w:val="both"/>
        <w:rPr>
          <w:rFonts w:ascii="Verdana" w:hAnsi="Verdana" w:cs="Arial"/>
          <w:b/>
          <w:bCs/>
          <w:i/>
          <w:iCs/>
        </w:rPr>
      </w:pPr>
    </w:p>
    <w:p w14:paraId="3A64F9EC" w14:textId="5C8DB8B5" w:rsidR="00805EFF" w:rsidRPr="003B33FD" w:rsidRDefault="00805EFF" w:rsidP="009644D2">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procedente excluir los costos asociados a la gestión social, inversiones ambientales, tratamiento de aguas residuales y fuentes no convencionales de energía renovable (FNCER) del conjunto de costos comparables utilizados en los análisis de eficiencia? En caso de que dichos costos no sean excluidos, ¿cuál será el tratamiento metodológico específico que permitirá controlar su alta heterogeneidad dentro del modelo de medición de eficiencia?</w:t>
      </w:r>
      <w:r w:rsidR="00B02717" w:rsidRPr="003B33FD">
        <w:rPr>
          <w:rFonts w:ascii="Verdana" w:hAnsi="Verdana" w:cs="Arial"/>
          <w:b/>
          <w:bCs/>
          <w:i/>
          <w:iCs/>
        </w:rPr>
        <w:t xml:space="preserve"> </w:t>
      </w:r>
    </w:p>
    <w:p w14:paraId="2273A6E1" w14:textId="77777777" w:rsidR="009563FE" w:rsidRPr="003B33FD" w:rsidRDefault="009563FE" w:rsidP="00805EFF">
      <w:pPr>
        <w:jc w:val="both"/>
        <w:rPr>
          <w:rFonts w:ascii="Verdana" w:hAnsi="Verdana" w:cs="Arial"/>
        </w:rPr>
      </w:pPr>
    </w:p>
    <w:p w14:paraId="5401A188" w14:textId="334EDBAF" w:rsidR="00547404" w:rsidRPr="003B33FD" w:rsidRDefault="00DE4FAD" w:rsidP="00805EFF">
      <w:pPr>
        <w:jc w:val="both"/>
        <w:rPr>
          <w:rFonts w:ascii="Verdana" w:hAnsi="Verdana" w:cs="Arial"/>
        </w:rPr>
      </w:pPr>
      <w:r w:rsidRPr="003B33FD">
        <w:rPr>
          <w:rFonts w:ascii="Verdana" w:hAnsi="Verdana" w:cs="Arial"/>
        </w:rPr>
        <w:t>En el ARTÍCULO 2.1.2.1.3.4.4. CRITERIOS PARA LA DETERMINACIÓN DE LOS COSTOS OPERATIVOS COMPARABLES, es posible identificar los criterios asociados a costos de inversiones ambientales adicionales, las iniciativas de gestión social, tratamiento de aguas residuales y FNCER, los cuales son considerados de manera particular en el momento</w:t>
      </w:r>
      <w:r w:rsidR="009A3A9E" w:rsidRPr="003B33FD">
        <w:rPr>
          <w:rFonts w:ascii="Verdana" w:hAnsi="Verdana" w:cs="Arial"/>
        </w:rPr>
        <w:t xml:space="preserve"> del</w:t>
      </w:r>
      <w:r w:rsidRPr="003B33FD">
        <w:rPr>
          <w:rFonts w:ascii="Verdana" w:hAnsi="Verdana" w:cs="Arial"/>
        </w:rPr>
        <w:t xml:space="preserve"> cálculo de</w:t>
      </w:r>
      <w:r w:rsidR="009A3A9E" w:rsidRPr="003B33FD">
        <w:rPr>
          <w:rFonts w:ascii="Verdana" w:hAnsi="Verdana" w:cs="Arial"/>
        </w:rPr>
        <w:t>l</w:t>
      </w:r>
      <w:r w:rsidRPr="003B33FD">
        <w:rPr>
          <w:rFonts w:ascii="Verdana" w:hAnsi="Verdana" w:cs="Arial"/>
        </w:rPr>
        <w:t xml:space="preserve"> puntaje de eficiencia.</w:t>
      </w:r>
    </w:p>
    <w:p w14:paraId="2C50E98D" w14:textId="77777777" w:rsidR="009563FE" w:rsidRPr="003B33FD" w:rsidRDefault="009563FE" w:rsidP="00805EFF">
      <w:pPr>
        <w:jc w:val="both"/>
        <w:rPr>
          <w:rFonts w:ascii="Verdana" w:hAnsi="Verdana" w:cs="Arial"/>
        </w:rPr>
      </w:pPr>
    </w:p>
    <w:p w14:paraId="658EBDD8" w14:textId="6C18D787" w:rsidR="00805EFF" w:rsidRPr="003B33FD" w:rsidRDefault="00805EFF" w:rsidP="002C4556">
      <w:pPr>
        <w:pStyle w:val="Prrafodelista"/>
        <w:numPr>
          <w:ilvl w:val="1"/>
          <w:numId w:val="9"/>
        </w:numPr>
        <w:ind w:left="851" w:hanging="567"/>
        <w:jc w:val="both"/>
        <w:rPr>
          <w:rFonts w:ascii="Verdana" w:hAnsi="Verdana" w:cs="Arial"/>
          <w:b/>
          <w:bCs/>
          <w:i/>
          <w:iCs/>
        </w:rPr>
      </w:pPr>
      <w:r w:rsidRPr="003B33FD">
        <w:rPr>
          <w:rFonts w:ascii="Verdana" w:hAnsi="Verdana" w:cs="Arial"/>
          <w:b/>
          <w:bCs/>
          <w:i/>
          <w:iCs/>
        </w:rPr>
        <w:t>¿Cuáles serán los criterios técnicos bajo los cuales estos costos serán incorporados en el modelo de medición de eficiencia previsto en la Resolución definitiva según la ARI 2026, garantizando la consistencia, robustez y comparabilidad de los resultados entre prestadores?</w:t>
      </w:r>
      <w:r w:rsidR="002C4556" w:rsidRPr="003B33FD">
        <w:rPr>
          <w:rFonts w:ascii="Verdana" w:hAnsi="Verdana" w:cs="Arial"/>
          <w:b/>
          <w:bCs/>
          <w:i/>
          <w:iCs/>
        </w:rPr>
        <w:t xml:space="preserve"> </w:t>
      </w:r>
    </w:p>
    <w:p w14:paraId="452C412B" w14:textId="77777777" w:rsidR="009563FE" w:rsidRPr="003B33FD" w:rsidRDefault="009563FE" w:rsidP="00805EFF">
      <w:pPr>
        <w:jc w:val="both"/>
        <w:rPr>
          <w:rFonts w:ascii="Verdana" w:hAnsi="Verdana" w:cs="Arial"/>
        </w:rPr>
      </w:pPr>
    </w:p>
    <w:p w14:paraId="043A183D" w14:textId="77777777" w:rsidR="0027514B" w:rsidRPr="003B33FD" w:rsidRDefault="00497586" w:rsidP="00497586">
      <w:pPr>
        <w:jc w:val="both"/>
        <w:rPr>
          <w:rFonts w:ascii="Verdana" w:hAnsi="Verdana" w:cs="Arial"/>
        </w:rPr>
      </w:pPr>
      <w:r w:rsidRPr="003B33FD">
        <w:rPr>
          <w:rFonts w:ascii="Verdana" w:hAnsi="Verdana" w:cs="Arial"/>
        </w:rPr>
        <w:t xml:space="preserve">El artículo 2.1.2.1.3.4.4 de la Resolución CRA </w:t>
      </w:r>
      <w:r w:rsidR="009A3A9E" w:rsidRPr="003B33FD">
        <w:rPr>
          <w:rFonts w:ascii="Verdana" w:hAnsi="Verdana" w:cs="Arial"/>
        </w:rPr>
        <w:t xml:space="preserve">943 de 2021, incorporado por la </w:t>
      </w:r>
      <w:r w:rsidR="0027514B" w:rsidRPr="003B33FD">
        <w:rPr>
          <w:rFonts w:ascii="Verdana" w:hAnsi="Verdana" w:cs="Arial"/>
        </w:rPr>
        <w:t xml:space="preserve">Resolución CRA </w:t>
      </w:r>
      <w:r w:rsidRPr="003B33FD">
        <w:rPr>
          <w:rFonts w:ascii="Verdana" w:hAnsi="Verdana" w:cs="Arial"/>
        </w:rPr>
        <w:t>1032 de 2026 dispone que las Inversiones Ambientales y de gestión del riesgo (IAA), las iniciativas de gestión social, los costos asociados al tratamiento de aguas residuales y los relacionados con fuentes no convencionales de energía renovable (FNCER)</w:t>
      </w:r>
      <w:r w:rsidR="0027514B" w:rsidRPr="003B33FD">
        <w:rPr>
          <w:rFonts w:ascii="Verdana" w:hAnsi="Verdana" w:cs="Arial"/>
        </w:rPr>
        <w:t>,</w:t>
      </w:r>
      <w:r w:rsidRPr="003B33FD">
        <w:rPr>
          <w:rFonts w:ascii="Verdana" w:hAnsi="Verdana" w:cs="Arial"/>
        </w:rPr>
        <w:t xml:space="preserve"> serán considerados de manera particular en el momento del cálculo del puntaje de eficiencia, sin que la resolución defina los criterios técnicos específicos de dicha consideración particular. </w:t>
      </w:r>
    </w:p>
    <w:p w14:paraId="4AA710AA" w14:textId="77777777" w:rsidR="0027514B" w:rsidRPr="003B33FD" w:rsidRDefault="0027514B" w:rsidP="00497586">
      <w:pPr>
        <w:jc w:val="both"/>
        <w:rPr>
          <w:rFonts w:ascii="Verdana" w:hAnsi="Verdana" w:cs="Arial"/>
        </w:rPr>
      </w:pPr>
    </w:p>
    <w:p w14:paraId="4041D54A" w14:textId="43C07DCE" w:rsidR="00497586" w:rsidRPr="003B33FD" w:rsidRDefault="00497586" w:rsidP="00497586">
      <w:pPr>
        <w:jc w:val="both"/>
        <w:rPr>
          <w:rFonts w:ascii="Verdana" w:hAnsi="Verdana" w:cs="Arial"/>
        </w:rPr>
      </w:pPr>
      <w:r w:rsidRPr="003B33FD">
        <w:rPr>
          <w:rFonts w:ascii="Verdana" w:hAnsi="Verdana" w:cs="Arial"/>
        </w:rPr>
        <w:t xml:space="preserve">Lo anterior obedece a que la metodología, el cálculo y el resultado de los puntajes de eficiencia para los costos administrativos y operativos comparables no fueron definidos en la Resolución CRA 1032 de 2026, sino que su desarrollo fue remitido a </w:t>
      </w:r>
      <w:r w:rsidRPr="003B33FD">
        <w:rPr>
          <w:rFonts w:ascii="Verdana" w:hAnsi="Verdana" w:cs="Arial"/>
        </w:rPr>
        <w:lastRenderedPageBreak/>
        <w:t>un proyecto regulatorio independiente y armonizado con el Nuevo Marco Tarifario, incluido en la Agenda Regulatoria Indicativa 2026, cuyos puntajes la Comisión deberá publicar a más tardar el 31 de diciembre de 2026 para su aplicación desde el año tarifario 1. Mientras dicho proyecto no se expida, el puntaje de eficiencia se mantiene en el 100% para todos los prestadores y segmentos, incluido el Segmento 1 al que pertenece Empresas Públicas de Medellín E.S.P.</w:t>
      </w:r>
    </w:p>
    <w:p w14:paraId="738B00C4" w14:textId="77777777" w:rsidR="00497586" w:rsidRPr="003B33FD" w:rsidRDefault="00497586" w:rsidP="00497586">
      <w:pPr>
        <w:jc w:val="both"/>
        <w:rPr>
          <w:rFonts w:ascii="Verdana" w:hAnsi="Verdana" w:cs="Arial"/>
        </w:rPr>
      </w:pPr>
    </w:p>
    <w:p w14:paraId="38A0419D" w14:textId="77777777" w:rsidR="00497586" w:rsidRPr="003B33FD" w:rsidRDefault="00497586" w:rsidP="00497586">
      <w:pPr>
        <w:jc w:val="both"/>
        <w:rPr>
          <w:rFonts w:ascii="Verdana" w:hAnsi="Verdana" w:cs="Arial"/>
        </w:rPr>
      </w:pPr>
      <w:r w:rsidRPr="003B33FD">
        <w:rPr>
          <w:rFonts w:ascii="Verdana" w:hAnsi="Verdana" w:cs="Arial"/>
        </w:rPr>
        <w:t>En consecuencia, los criterios técnicos específicos bajo los cuales estos costos serán incorporados al modelo de eficiencia, así como las condiciones que garanticen la consistencia, robustez y comparabilidad de resultados entre prestadores, hacen parte del alcance de dicho proyecto regulatorio, actualmente en desarrollo. La Comisión dará a conocer estos criterios, con su correspondiente justificación técnica y previa oportunidad de comentarios del sector, una vez se surta el proceso de formulación respectivo.</w:t>
      </w:r>
    </w:p>
    <w:p w14:paraId="19341C53" w14:textId="77777777" w:rsidR="00497586" w:rsidRPr="003B33FD" w:rsidRDefault="00497586" w:rsidP="00497586">
      <w:pPr>
        <w:jc w:val="both"/>
        <w:rPr>
          <w:rFonts w:ascii="Verdana" w:hAnsi="Verdana" w:cs="Arial"/>
        </w:rPr>
      </w:pPr>
    </w:p>
    <w:p w14:paraId="426F71CB" w14:textId="063738E1" w:rsidR="009563FE" w:rsidRPr="003B33FD" w:rsidRDefault="00497586" w:rsidP="00497586">
      <w:pPr>
        <w:jc w:val="both"/>
        <w:rPr>
          <w:rFonts w:ascii="Verdana" w:hAnsi="Verdana" w:cs="Arial"/>
        </w:rPr>
      </w:pPr>
      <w:r w:rsidRPr="003B33FD">
        <w:rPr>
          <w:rFonts w:ascii="Verdana" w:hAnsi="Verdana" w:cs="Arial"/>
        </w:rPr>
        <w:t xml:space="preserve">A título informativo sobre los parámetros que deberán ponderarse, la alta heterogeneidad de estos costos entre prestadores y su relación con condiciones específicas de cada Área de Prestación del Servicio hacen previsible que su tratamiento no consista en su inclusión indiferenciada dentro del conjunto general de costos comparables, sino en alguna forma de tratamiento diferenciado (exclusión del conjunto de variables comparables con reconocimiento directo, normalización, o ponderación específica), en línea con la salvedad que el propio artículo 2.1.2.1.3.4.4 ya anticipa. </w:t>
      </w:r>
    </w:p>
    <w:p w14:paraId="21597D46" w14:textId="77777777" w:rsidR="00863F07" w:rsidRPr="003B33FD" w:rsidRDefault="00863F07" w:rsidP="00805EFF">
      <w:pPr>
        <w:jc w:val="both"/>
        <w:rPr>
          <w:rFonts w:ascii="Verdana" w:hAnsi="Verdana" w:cs="Arial"/>
        </w:rPr>
      </w:pPr>
    </w:p>
    <w:p w14:paraId="5F1FA773" w14:textId="6D8A7014" w:rsidR="00805EFF" w:rsidRPr="003B33FD" w:rsidRDefault="00805EFF" w:rsidP="00AE6522">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procedente trasladar costos de naturaleza operativa al componente administrativo cuando estos no se encuentren explícitamente listados en los conceptos operativos definidos en la metodología?</w:t>
      </w:r>
      <w:r w:rsidR="00AE6522" w:rsidRPr="003B33FD">
        <w:rPr>
          <w:rFonts w:ascii="Verdana" w:hAnsi="Verdana" w:cs="Arial"/>
          <w:b/>
          <w:bCs/>
          <w:i/>
          <w:iCs/>
        </w:rPr>
        <w:t xml:space="preserve"> </w:t>
      </w:r>
    </w:p>
    <w:p w14:paraId="2650A74B" w14:textId="77777777" w:rsidR="009563FE" w:rsidRPr="003B33FD" w:rsidRDefault="009563FE" w:rsidP="00805EFF">
      <w:pPr>
        <w:jc w:val="both"/>
        <w:rPr>
          <w:rFonts w:ascii="Verdana" w:hAnsi="Verdana" w:cs="Arial"/>
          <w:lang w:val="es-CO"/>
        </w:rPr>
      </w:pPr>
    </w:p>
    <w:p w14:paraId="2E67EBFB" w14:textId="29B77221" w:rsidR="004E352A" w:rsidRPr="003B33FD" w:rsidRDefault="00A57C5E" w:rsidP="003040A4">
      <w:pPr>
        <w:jc w:val="both"/>
        <w:rPr>
          <w:rFonts w:ascii="Verdana" w:hAnsi="Verdana" w:cs="Arial"/>
        </w:rPr>
      </w:pPr>
      <w:r w:rsidRPr="003B33FD">
        <w:rPr>
          <w:rFonts w:ascii="Verdana" w:hAnsi="Verdana" w:cs="Arial"/>
        </w:rPr>
        <w:t xml:space="preserve">El </w:t>
      </w:r>
      <w:r w:rsidR="0027514B" w:rsidRPr="003B33FD">
        <w:rPr>
          <w:rFonts w:ascii="Verdana" w:hAnsi="Verdana" w:cs="Arial"/>
        </w:rPr>
        <w:t>Nuevo Marco tarifarios para Grandes Prestadores</w:t>
      </w:r>
      <w:r w:rsidRPr="003B33FD">
        <w:rPr>
          <w:rFonts w:ascii="Verdana" w:hAnsi="Verdana" w:cs="Arial"/>
        </w:rPr>
        <w:t xml:space="preserve"> </w:t>
      </w:r>
      <w:r w:rsidR="003040A4" w:rsidRPr="003B33FD">
        <w:rPr>
          <w:rFonts w:ascii="Verdana" w:hAnsi="Verdana" w:cs="Arial"/>
        </w:rPr>
        <w:t>exige una clasificación precisa y estricta de los costos,</w:t>
      </w:r>
      <w:r w:rsidRPr="003B33FD">
        <w:rPr>
          <w:rFonts w:ascii="Verdana" w:hAnsi="Verdana" w:cs="Arial"/>
        </w:rPr>
        <w:t xml:space="preserve"> </w:t>
      </w:r>
      <w:r w:rsidR="003040A4" w:rsidRPr="003B33FD">
        <w:rPr>
          <w:rFonts w:ascii="Verdana" w:hAnsi="Verdana" w:cs="Arial"/>
        </w:rPr>
        <w:t>conforme a los rubros definidos de manera taxativa en la propuesta normativa, evitando</w:t>
      </w:r>
      <w:r w:rsidRPr="003B33FD">
        <w:rPr>
          <w:rFonts w:ascii="Verdana" w:hAnsi="Verdana" w:cs="Arial"/>
        </w:rPr>
        <w:t xml:space="preserve"> </w:t>
      </w:r>
      <w:r w:rsidR="003040A4" w:rsidRPr="003B33FD">
        <w:rPr>
          <w:rFonts w:ascii="Verdana" w:hAnsi="Verdana" w:cs="Arial"/>
        </w:rPr>
        <w:t>duplicidades y asignaciones inconsistentes. Cada persona prestadora es responsable de identificar</w:t>
      </w:r>
      <w:r w:rsidR="0031378B" w:rsidRPr="003B33FD">
        <w:rPr>
          <w:rFonts w:ascii="Verdana" w:hAnsi="Verdana" w:cs="Arial"/>
        </w:rPr>
        <w:t xml:space="preserve"> </w:t>
      </w:r>
      <w:r w:rsidR="003040A4" w:rsidRPr="003B33FD">
        <w:rPr>
          <w:rFonts w:ascii="Verdana" w:hAnsi="Verdana" w:cs="Arial"/>
        </w:rPr>
        <w:t>la naturaleza real de cada erogación</w:t>
      </w:r>
      <w:r w:rsidR="00A14107" w:rsidRPr="003B33FD">
        <w:rPr>
          <w:rFonts w:ascii="Verdana" w:hAnsi="Verdana" w:cs="Arial"/>
        </w:rPr>
        <w:t xml:space="preserve"> antes de asignarla a un </w:t>
      </w:r>
      <w:r w:rsidR="00FA5080" w:rsidRPr="003B33FD">
        <w:rPr>
          <w:rFonts w:ascii="Verdana" w:hAnsi="Verdana" w:cs="Arial"/>
        </w:rPr>
        <w:t>costo medio</w:t>
      </w:r>
      <w:r w:rsidR="003040A4" w:rsidRPr="003B33FD">
        <w:rPr>
          <w:rFonts w:ascii="Verdana" w:hAnsi="Verdana" w:cs="Arial"/>
        </w:rPr>
        <w:t xml:space="preserve"> y ubicarla exclusivamente en el</w:t>
      </w:r>
      <w:r w:rsidR="00E77474" w:rsidRPr="003B33FD">
        <w:rPr>
          <w:rFonts w:ascii="Verdana" w:hAnsi="Verdana" w:cs="Arial"/>
        </w:rPr>
        <w:t xml:space="preserve"> costo</w:t>
      </w:r>
      <w:r w:rsidR="003040A4" w:rsidRPr="003B33FD">
        <w:rPr>
          <w:rFonts w:ascii="Verdana" w:hAnsi="Verdana" w:cs="Arial"/>
        </w:rPr>
        <w:t xml:space="preserve"> que corresponda,</w:t>
      </w:r>
      <w:r w:rsidR="0031378B" w:rsidRPr="003B33FD">
        <w:rPr>
          <w:rFonts w:ascii="Verdana" w:hAnsi="Verdana" w:cs="Arial"/>
        </w:rPr>
        <w:t xml:space="preserve"> </w:t>
      </w:r>
      <w:r w:rsidR="003040A4" w:rsidRPr="003B33FD">
        <w:rPr>
          <w:rFonts w:ascii="Verdana" w:hAnsi="Verdana" w:cs="Arial"/>
        </w:rPr>
        <w:t xml:space="preserve">administrativo, operativo </w:t>
      </w:r>
      <w:r w:rsidR="0027514B" w:rsidRPr="003B33FD">
        <w:rPr>
          <w:rFonts w:ascii="Verdana" w:hAnsi="Verdana" w:cs="Arial"/>
        </w:rPr>
        <w:t xml:space="preserve">comparable </w:t>
      </w:r>
      <w:r w:rsidR="003040A4" w:rsidRPr="003B33FD">
        <w:rPr>
          <w:rFonts w:ascii="Verdana" w:hAnsi="Verdana" w:cs="Arial"/>
        </w:rPr>
        <w:t xml:space="preserve">o particular, según la estructura regulatoria. </w:t>
      </w:r>
      <w:r w:rsidR="004E352A" w:rsidRPr="003B33FD">
        <w:rPr>
          <w:rFonts w:ascii="Verdana" w:hAnsi="Verdana" w:cs="Arial"/>
        </w:rPr>
        <w:t>Si una actividad es directamente operativa, debe</w:t>
      </w:r>
      <w:r w:rsidR="002F5B18" w:rsidRPr="003B33FD">
        <w:rPr>
          <w:rFonts w:ascii="Verdana" w:hAnsi="Verdana" w:cs="Arial"/>
        </w:rPr>
        <w:t xml:space="preserve"> </w:t>
      </w:r>
      <w:r w:rsidR="00523A01" w:rsidRPr="003B33FD">
        <w:rPr>
          <w:rFonts w:ascii="Verdana" w:hAnsi="Verdana" w:cs="Arial"/>
        </w:rPr>
        <w:t xml:space="preserve">analizar su </w:t>
      </w:r>
      <w:r w:rsidR="004E352A" w:rsidRPr="003B33FD">
        <w:rPr>
          <w:rFonts w:ascii="Verdana" w:hAnsi="Verdana" w:cs="Arial"/>
        </w:rPr>
        <w:t>ubica</w:t>
      </w:r>
      <w:r w:rsidR="00523A01" w:rsidRPr="003B33FD">
        <w:rPr>
          <w:rFonts w:ascii="Verdana" w:hAnsi="Verdana" w:cs="Arial"/>
        </w:rPr>
        <w:t>ción</w:t>
      </w:r>
      <w:r w:rsidR="004E352A" w:rsidRPr="003B33FD">
        <w:rPr>
          <w:rFonts w:ascii="Verdana" w:hAnsi="Verdana" w:cs="Arial"/>
        </w:rPr>
        <w:t xml:space="preserve"> exclusivamente en los rubros operativos</w:t>
      </w:r>
      <w:r w:rsidR="00633363" w:rsidRPr="003B33FD">
        <w:rPr>
          <w:rFonts w:ascii="Verdana" w:hAnsi="Verdana" w:cs="Arial"/>
        </w:rPr>
        <w:t xml:space="preserve"> definidos dentro de </w:t>
      </w:r>
      <w:r w:rsidR="000E1317" w:rsidRPr="003B33FD">
        <w:rPr>
          <w:rFonts w:ascii="Verdana" w:hAnsi="Verdana" w:cs="Arial"/>
        </w:rPr>
        <w:t>la resolución.</w:t>
      </w:r>
    </w:p>
    <w:p w14:paraId="4F593D6E" w14:textId="77777777" w:rsidR="00B0685F" w:rsidRPr="003B33FD" w:rsidRDefault="00B0685F" w:rsidP="003040A4">
      <w:pPr>
        <w:jc w:val="both"/>
        <w:rPr>
          <w:rFonts w:ascii="Verdana" w:hAnsi="Verdana" w:cs="Arial"/>
        </w:rPr>
      </w:pPr>
    </w:p>
    <w:p w14:paraId="00775C90" w14:textId="7C149B2D" w:rsidR="00B0685F" w:rsidRPr="003B33FD" w:rsidRDefault="00523A01" w:rsidP="003040A4">
      <w:pPr>
        <w:jc w:val="both"/>
        <w:rPr>
          <w:rFonts w:ascii="Verdana" w:hAnsi="Verdana" w:cs="Arial"/>
        </w:rPr>
      </w:pPr>
      <w:r w:rsidRPr="003B33FD">
        <w:rPr>
          <w:rFonts w:ascii="Verdana" w:hAnsi="Verdana" w:cs="Arial"/>
        </w:rPr>
        <w:lastRenderedPageBreak/>
        <w:t>No se podrán incluir costos administrativos que correspondan a costos de actividades diferentes a la prestación directa de los servicios públicos domiciliarios de acueducto y alcantarillado, ni aquellos que tengan un ingreso asociado o que correspondan a intereses, multas, sanciones y/o sentencias en contra de la persona prestadora.</w:t>
      </w:r>
    </w:p>
    <w:p w14:paraId="3DBF0FD9" w14:textId="64FFCE86" w:rsidR="009563FE" w:rsidRPr="003B33FD" w:rsidRDefault="00AE6522" w:rsidP="00AE6522">
      <w:pPr>
        <w:jc w:val="both"/>
        <w:rPr>
          <w:rFonts w:ascii="Verdana" w:hAnsi="Verdana" w:cs="Arial"/>
        </w:rPr>
      </w:pPr>
      <w:r w:rsidRPr="003B33FD">
        <w:rPr>
          <w:rFonts w:ascii="Verdana" w:hAnsi="Verdana" w:cs="Arial"/>
        </w:rPr>
        <w:t xml:space="preserve">La inclusión de nuevos costos y/o gastos administrativos u operativos que no se encuentren descritos dentro de los criterios regulatorios deberá sujetarse a las condiciones definidas en </w:t>
      </w:r>
      <w:r w:rsidR="00391E41" w:rsidRPr="003B33FD">
        <w:rPr>
          <w:rFonts w:ascii="Verdana" w:hAnsi="Verdana" w:cs="Arial"/>
        </w:rPr>
        <w:t>la Resolución CRA 1032</w:t>
      </w:r>
      <w:r w:rsidR="0027514B" w:rsidRPr="003B33FD">
        <w:rPr>
          <w:rFonts w:ascii="Verdana" w:hAnsi="Verdana" w:cs="Arial"/>
        </w:rPr>
        <w:t xml:space="preserve"> de 2026</w:t>
      </w:r>
      <w:r w:rsidR="00391E41" w:rsidRPr="003B33FD">
        <w:rPr>
          <w:rFonts w:ascii="Verdana" w:hAnsi="Verdana" w:cs="Arial"/>
        </w:rPr>
        <w:t xml:space="preserve"> y en </w:t>
      </w:r>
      <w:r w:rsidRPr="003B33FD">
        <w:rPr>
          <w:rFonts w:ascii="Verdana" w:hAnsi="Verdana" w:cs="Arial"/>
        </w:rPr>
        <w:t>la Circular</w:t>
      </w:r>
      <w:r w:rsidR="002B5656" w:rsidRPr="003B33FD">
        <w:rPr>
          <w:rFonts w:ascii="Verdana" w:hAnsi="Verdana" w:cs="Arial"/>
        </w:rPr>
        <w:t xml:space="preserve"> 1 de 2026.</w:t>
      </w:r>
    </w:p>
    <w:p w14:paraId="711E7FFB" w14:textId="77777777" w:rsidR="009563FE" w:rsidRPr="003B33FD" w:rsidRDefault="009563FE" w:rsidP="00805EFF">
      <w:pPr>
        <w:jc w:val="both"/>
        <w:rPr>
          <w:rFonts w:ascii="Verdana" w:hAnsi="Verdana" w:cs="Arial"/>
        </w:rPr>
      </w:pPr>
    </w:p>
    <w:p w14:paraId="3475743E" w14:textId="37D6C204" w:rsidR="00700C35" w:rsidRPr="003B33FD" w:rsidRDefault="00805EFF" w:rsidP="005D44AA">
      <w:pPr>
        <w:pStyle w:val="Prrafodelista"/>
        <w:numPr>
          <w:ilvl w:val="1"/>
          <w:numId w:val="9"/>
        </w:numPr>
        <w:ind w:left="851" w:hanging="567"/>
        <w:jc w:val="both"/>
        <w:rPr>
          <w:rFonts w:ascii="Verdana" w:hAnsi="Verdana" w:cs="Arial"/>
          <w:b/>
          <w:bCs/>
          <w:i/>
          <w:iCs/>
        </w:rPr>
      </w:pPr>
      <w:r w:rsidRPr="003B33FD">
        <w:rPr>
          <w:rFonts w:ascii="Verdana" w:hAnsi="Verdana" w:cs="Arial"/>
          <w:b/>
          <w:bCs/>
          <w:i/>
          <w:iCs/>
        </w:rPr>
        <w:t>Si la señal regulatoria es que dichos costos deben trasladarse al componente</w:t>
      </w:r>
      <w:r w:rsidR="009563FE" w:rsidRPr="003B33FD">
        <w:rPr>
          <w:rFonts w:ascii="Verdana" w:hAnsi="Verdana" w:cs="Arial"/>
          <w:b/>
          <w:bCs/>
          <w:i/>
          <w:iCs/>
        </w:rPr>
        <w:t xml:space="preserve"> </w:t>
      </w:r>
      <w:r w:rsidRPr="003B33FD">
        <w:rPr>
          <w:rFonts w:ascii="Verdana" w:hAnsi="Verdana" w:cs="Arial"/>
          <w:b/>
          <w:bCs/>
          <w:i/>
          <w:iCs/>
        </w:rPr>
        <w:t>administrativo, ¿cuál será el manejo que se les dará en el marco de la aplicación del</w:t>
      </w:r>
      <w:r w:rsidR="009563FE" w:rsidRPr="003B33FD">
        <w:rPr>
          <w:rFonts w:ascii="Verdana" w:hAnsi="Verdana" w:cs="Arial"/>
          <w:b/>
          <w:bCs/>
          <w:i/>
          <w:iCs/>
        </w:rPr>
        <w:t xml:space="preserve"> </w:t>
      </w:r>
      <w:r w:rsidRPr="003B33FD">
        <w:rPr>
          <w:rFonts w:ascii="Verdana" w:hAnsi="Verdana" w:cs="Arial"/>
          <w:b/>
          <w:bCs/>
          <w:i/>
          <w:iCs/>
        </w:rPr>
        <w:t>modelo de eficiencia DEA?</w:t>
      </w:r>
    </w:p>
    <w:p w14:paraId="01ED9384" w14:textId="77777777" w:rsidR="00805EFF" w:rsidRPr="003B33FD" w:rsidRDefault="00805EFF" w:rsidP="004E7521">
      <w:pPr>
        <w:jc w:val="both"/>
        <w:rPr>
          <w:rFonts w:ascii="Verdana" w:hAnsi="Verdana" w:cs="Arial"/>
        </w:rPr>
      </w:pPr>
    </w:p>
    <w:p w14:paraId="1BE8660A" w14:textId="103D6FCF" w:rsidR="002E1F4B" w:rsidRPr="003B33FD" w:rsidRDefault="002E1F4B" w:rsidP="002E1F4B">
      <w:pPr>
        <w:jc w:val="both"/>
        <w:rPr>
          <w:rFonts w:ascii="Verdana" w:hAnsi="Verdana" w:cs="Arial"/>
        </w:rPr>
      </w:pPr>
      <w:r w:rsidRPr="003B33FD">
        <w:rPr>
          <w:rFonts w:ascii="Verdana" w:hAnsi="Verdana" w:cs="Arial"/>
        </w:rPr>
        <w:t xml:space="preserve">Como se señaló en la respuesta a la pregunta anterior, la metodología definitiva de medición de eficiencia —incluida la decisión sobre si corresponderá a un Análisis Envolvente de Datos (DEA), a un Índice Sintético de Eficiencia (ISE), o a un esquema que combine elementos de ambos— no </w:t>
      </w:r>
      <w:r w:rsidR="0027514B" w:rsidRPr="003B33FD">
        <w:rPr>
          <w:rFonts w:ascii="Verdana" w:hAnsi="Verdana" w:cs="Arial"/>
        </w:rPr>
        <w:t>se definió</w:t>
      </w:r>
      <w:r w:rsidRPr="003B33FD">
        <w:rPr>
          <w:rFonts w:ascii="Verdana" w:hAnsi="Verdana" w:cs="Arial"/>
        </w:rPr>
        <w:t xml:space="preserve"> en la Resolución CRA 1032 de 2026 y se encuentra en desarrollo </w:t>
      </w:r>
      <w:r w:rsidR="0027514B" w:rsidRPr="003B33FD">
        <w:rPr>
          <w:rFonts w:ascii="Verdana" w:hAnsi="Verdana" w:cs="Arial"/>
        </w:rPr>
        <w:t xml:space="preserve">como </w:t>
      </w:r>
      <w:r w:rsidRPr="003B33FD">
        <w:rPr>
          <w:rFonts w:ascii="Verdana" w:hAnsi="Verdana" w:cs="Arial"/>
        </w:rPr>
        <w:t>proyecto regulatorio independiente que la Comisión debe expedir a más tardar el 31 de diciembre de 2026. En consecuencia, el manejo específico que recibirán dentro de dicho modelo, los costos que conforme a la Circular CRA 01 de 2026 sean trasladados del componente operativo al componente administrativo</w:t>
      </w:r>
      <w:r w:rsidR="00A47E8D" w:rsidRPr="003B33FD">
        <w:rPr>
          <w:rFonts w:ascii="Verdana" w:hAnsi="Verdana" w:cs="Arial"/>
        </w:rPr>
        <w:t>,</w:t>
      </w:r>
      <w:r w:rsidRPr="003B33FD">
        <w:rPr>
          <w:rFonts w:ascii="Verdana" w:hAnsi="Verdana" w:cs="Arial"/>
        </w:rPr>
        <w:t xml:space="preserve"> está sujeto a esa misma definición pendiente.</w:t>
      </w:r>
    </w:p>
    <w:p w14:paraId="23F8C8A7" w14:textId="77777777" w:rsidR="002E1F4B" w:rsidRPr="003B33FD" w:rsidRDefault="002E1F4B" w:rsidP="002E1F4B">
      <w:pPr>
        <w:jc w:val="both"/>
        <w:rPr>
          <w:rFonts w:ascii="Verdana" w:hAnsi="Verdana" w:cs="Arial"/>
        </w:rPr>
      </w:pPr>
    </w:p>
    <w:p w14:paraId="3D9F5531" w14:textId="77777777" w:rsidR="002E1F4B" w:rsidRPr="003B33FD" w:rsidRDefault="002E1F4B" w:rsidP="002E1F4B">
      <w:pPr>
        <w:jc w:val="both"/>
        <w:rPr>
          <w:rFonts w:ascii="Verdana" w:hAnsi="Verdana" w:cs="Arial"/>
        </w:rPr>
      </w:pPr>
      <w:r w:rsidRPr="003B33FD">
        <w:rPr>
          <w:rFonts w:ascii="Verdana" w:hAnsi="Verdana" w:cs="Arial"/>
        </w:rPr>
        <w:t>Sin perjuicio de lo anterior, cualquiera sea la metodología que se adopte, su tratamiento deberá ser consistente con los criterios regulatorios de los artículos 2.1.2.1.3.2.4 (Costo Administrativo Comparable) y 2.1.2.1.3.4.4 (Costo Operativo Comparable) de la Resolución CRA 1032 de 2026, de forma que un mismo costo no se contabilice simultáneamente como insumo comparable en ambos componentes y que su reclasificación no distorsione la comparación entre prestadores.</w:t>
      </w:r>
    </w:p>
    <w:p w14:paraId="38FA5695" w14:textId="77777777" w:rsidR="002E1F4B" w:rsidRPr="003B33FD" w:rsidRDefault="002E1F4B" w:rsidP="002E1F4B">
      <w:pPr>
        <w:jc w:val="both"/>
        <w:rPr>
          <w:rFonts w:ascii="Verdana" w:hAnsi="Verdana" w:cs="Arial"/>
        </w:rPr>
      </w:pPr>
    </w:p>
    <w:p w14:paraId="6EFFA899" w14:textId="7D9C8C95" w:rsidR="006C2C16" w:rsidRPr="003B33FD" w:rsidRDefault="006C2C16" w:rsidP="00E94195">
      <w:pPr>
        <w:pStyle w:val="Prrafodelista"/>
        <w:numPr>
          <w:ilvl w:val="0"/>
          <w:numId w:val="9"/>
        </w:numPr>
        <w:ind w:left="567" w:hanging="283"/>
        <w:jc w:val="both"/>
        <w:rPr>
          <w:rFonts w:ascii="Verdana" w:hAnsi="Verdana" w:cs="Arial"/>
          <w:b/>
          <w:bCs/>
          <w:i/>
          <w:iCs/>
        </w:rPr>
      </w:pPr>
      <w:r w:rsidRPr="003B33FD">
        <w:rPr>
          <w:rFonts w:ascii="Verdana" w:hAnsi="Verdana" w:cs="Arial"/>
          <w:b/>
          <w:bCs/>
          <w:i/>
          <w:iCs/>
        </w:rPr>
        <w:t>Servidumbres con vida útil indefinida en el marco de la Resolución CRA 1032 de 2026</w:t>
      </w:r>
      <w:r w:rsidR="00BD5569" w:rsidRPr="003B33FD">
        <w:rPr>
          <w:rFonts w:ascii="Verdana" w:hAnsi="Verdana" w:cs="Arial"/>
          <w:b/>
          <w:bCs/>
          <w:i/>
          <w:iCs/>
        </w:rPr>
        <w:t xml:space="preserve"> </w:t>
      </w:r>
      <w:r w:rsidR="007B1073" w:rsidRPr="003B33FD">
        <w:rPr>
          <w:rFonts w:ascii="Verdana" w:hAnsi="Verdana" w:cs="Arial"/>
          <w:b/>
          <w:bCs/>
          <w:i/>
          <w:iCs/>
        </w:rPr>
        <w:tab/>
      </w:r>
    </w:p>
    <w:p w14:paraId="1997DABA" w14:textId="77777777" w:rsidR="00E94195" w:rsidRPr="003B33FD" w:rsidRDefault="00E94195" w:rsidP="00E94195">
      <w:pPr>
        <w:jc w:val="both"/>
        <w:rPr>
          <w:rFonts w:ascii="Verdana" w:hAnsi="Verdana" w:cs="Arial"/>
          <w:b/>
          <w:bCs/>
          <w:i/>
          <w:iCs/>
        </w:rPr>
      </w:pPr>
    </w:p>
    <w:p w14:paraId="57E08564" w14:textId="4E0CF0D8" w:rsidR="001C3375" w:rsidRPr="003B33FD" w:rsidRDefault="006C2C16" w:rsidP="00E77EB6">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correcto entender que las servidumbres con vida útil indefinida pueden recibir un</w:t>
      </w:r>
      <w:r w:rsidR="00E94195" w:rsidRPr="003B33FD">
        <w:rPr>
          <w:rFonts w:ascii="Verdana" w:hAnsi="Verdana" w:cs="Arial"/>
          <w:b/>
          <w:bCs/>
          <w:i/>
          <w:iCs/>
        </w:rPr>
        <w:t xml:space="preserve"> </w:t>
      </w:r>
      <w:r w:rsidRPr="003B33FD">
        <w:rPr>
          <w:rFonts w:ascii="Verdana" w:hAnsi="Verdana" w:cs="Arial"/>
          <w:b/>
          <w:bCs/>
          <w:i/>
          <w:iCs/>
        </w:rPr>
        <w:t>tratamiento equivalente al de los terrenos para efectos de</w:t>
      </w:r>
      <w:r w:rsidR="00E94195" w:rsidRPr="003B33FD">
        <w:rPr>
          <w:rFonts w:ascii="Verdana" w:hAnsi="Verdana" w:cs="Arial"/>
          <w:b/>
          <w:bCs/>
          <w:i/>
          <w:iCs/>
        </w:rPr>
        <w:t xml:space="preserve"> </w:t>
      </w:r>
      <w:r w:rsidRPr="003B33FD">
        <w:rPr>
          <w:rFonts w:ascii="Verdana" w:hAnsi="Verdana" w:cs="Arial"/>
          <w:b/>
          <w:bCs/>
          <w:i/>
          <w:iCs/>
        </w:rPr>
        <w:t>su reconocimiento tarifario en el</w:t>
      </w:r>
      <w:r w:rsidR="00E94195" w:rsidRPr="003B33FD">
        <w:rPr>
          <w:rFonts w:ascii="Verdana" w:hAnsi="Verdana" w:cs="Arial"/>
          <w:b/>
          <w:bCs/>
          <w:i/>
          <w:iCs/>
        </w:rPr>
        <w:t xml:space="preserve"> </w:t>
      </w:r>
      <w:r w:rsidRPr="003B33FD">
        <w:rPr>
          <w:rFonts w:ascii="Verdana" w:hAnsi="Verdana" w:cs="Arial"/>
          <w:b/>
          <w:bCs/>
          <w:i/>
          <w:iCs/>
        </w:rPr>
        <w:t>marco de la Resolución CRA 1032 de 2026?</w:t>
      </w:r>
      <w:r w:rsidR="00AA0B3C" w:rsidRPr="003B33FD">
        <w:rPr>
          <w:rFonts w:ascii="Verdana" w:hAnsi="Verdana" w:cs="Arial"/>
          <w:b/>
          <w:bCs/>
          <w:i/>
          <w:iCs/>
        </w:rPr>
        <w:t xml:space="preserve"> </w:t>
      </w:r>
    </w:p>
    <w:p w14:paraId="77AE173D" w14:textId="77777777" w:rsidR="006C2C16" w:rsidRPr="003B33FD" w:rsidRDefault="006C2C16" w:rsidP="004E7521">
      <w:pPr>
        <w:jc w:val="both"/>
        <w:rPr>
          <w:rFonts w:ascii="Verdana" w:hAnsi="Verdana" w:cs="Arial"/>
        </w:rPr>
      </w:pPr>
    </w:p>
    <w:p w14:paraId="12C3C9FD" w14:textId="22E9720A" w:rsidR="00E94195" w:rsidRPr="003B33FD" w:rsidRDefault="00B804CC" w:rsidP="00B804CC">
      <w:pPr>
        <w:pStyle w:val="Prrafodelista"/>
        <w:numPr>
          <w:ilvl w:val="1"/>
          <w:numId w:val="9"/>
        </w:numPr>
        <w:ind w:left="851" w:hanging="567"/>
        <w:jc w:val="both"/>
        <w:rPr>
          <w:rFonts w:ascii="Verdana" w:hAnsi="Verdana" w:cs="Arial"/>
          <w:b/>
          <w:bCs/>
          <w:i/>
          <w:iCs/>
        </w:rPr>
      </w:pPr>
      <w:r w:rsidRPr="003B33FD">
        <w:rPr>
          <w:rFonts w:ascii="Verdana" w:hAnsi="Verdana" w:cs="Arial"/>
          <w:b/>
          <w:bCs/>
          <w:i/>
          <w:iCs/>
        </w:rPr>
        <w:t xml:space="preserve">¿Es procedente que las servidumbres con vida útil indefinida sean incluidas en la Base de Capital Regulada (BCR), sin sujeción a </w:t>
      </w:r>
      <w:r w:rsidRPr="003B33FD">
        <w:rPr>
          <w:rFonts w:ascii="Verdana" w:hAnsi="Verdana" w:cs="Arial"/>
          <w:b/>
          <w:bCs/>
          <w:i/>
          <w:iCs/>
        </w:rPr>
        <w:lastRenderedPageBreak/>
        <w:t>depreciación o amortización, atendiendo a su naturaleza económica y a su carácter indispensable para la prestación del servicio?</w:t>
      </w:r>
    </w:p>
    <w:p w14:paraId="0DE0BB3A" w14:textId="77777777" w:rsidR="00B804CC" w:rsidRPr="003B33FD" w:rsidRDefault="00B804CC" w:rsidP="004E7521">
      <w:pPr>
        <w:jc w:val="both"/>
        <w:rPr>
          <w:rFonts w:ascii="Verdana" w:hAnsi="Verdana" w:cs="Arial"/>
        </w:rPr>
      </w:pPr>
    </w:p>
    <w:p w14:paraId="7618C18A" w14:textId="06101FA4" w:rsidR="001C3375" w:rsidRPr="003B33FD" w:rsidRDefault="00065145" w:rsidP="00065145">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En caso de que la Comisión no considere procedente otorgar a las servidumbres con vida útil indefinida un tratamiento equivalente al de los terrenos, ¿cuál sería el componente tarifario o tratamiento metodológico aplicable para reconocer este tipo de activos intangibles indispensables para la prestación del servicio, que no son susceptibles de amortización bajo la NIC 38?</w:t>
      </w:r>
      <w:r w:rsidR="00F24C17" w:rsidRPr="003B33FD">
        <w:rPr>
          <w:rFonts w:ascii="Verdana" w:hAnsi="Verdana" w:cs="Arial"/>
          <w:b/>
          <w:bCs/>
          <w:i/>
          <w:iCs/>
        </w:rPr>
        <w:t xml:space="preserve"> </w:t>
      </w:r>
    </w:p>
    <w:p w14:paraId="19893626" w14:textId="77777777" w:rsidR="00065145" w:rsidRPr="003B33FD" w:rsidRDefault="00065145" w:rsidP="004E7521">
      <w:pPr>
        <w:jc w:val="both"/>
        <w:rPr>
          <w:rFonts w:ascii="Verdana" w:hAnsi="Verdana" w:cs="Arial"/>
          <w:lang w:val="es-CO"/>
        </w:rPr>
      </w:pPr>
    </w:p>
    <w:p w14:paraId="7A8FD43C" w14:textId="77777777" w:rsidR="005C4F15" w:rsidRPr="003B33FD" w:rsidRDefault="005C4F15" w:rsidP="005C4F15">
      <w:pPr>
        <w:jc w:val="both"/>
        <w:rPr>
          <w:rFonts w:ascii="Verdana" w:hAnsi="Verdana" w:cs="Arial"/>
        </w:rPr>
      </w:pPr>
      <w:r w:rsidRPr="003B33FD">
        <w:rPr>
          <w:rFonts w:ascii="Verdana" w:hAnsi="Verdana" w:cs="Arial"/>
        </w:rPr>
        <w:t>Al respecto, se observa que una servidumbre es un derecho (de paso de agua sobre predio ajeno), y bajo NIIF puede caer en uno de dos marcos:</w:t>
      </w:r>
    </w:p>
    <w:p w14:paraId="7ACDE8E5" w14:textId="77777777" w:rsidR="005C4F15" w:rsidRPr="003B33FD" w:rsidRDefault="005C4F15" w:rsidP="005C4F15">
      <w:pPr>
        <w:jc w:val="both"/>
        <w:rPr>
          <w:rFonts w:ascii="Verdana" w:hAnsi="Verdana" w:cs="Arial"/>
        </w:rPr>
      </w:pPr>
    </w:p>
    <w:p w14:paraId="486C96FF" w14:textId="77777777" w:rsidR="005C4F15" w:rsidRPr="003B33FD" w:rsidRDefault="005C4F15" w:rsidP="005C4F15">
      <w:pPr>
        <w:numPr>
          <w:ilvl w:val="0"/>
          <w:numId w:val="10"/>
        </w:numPr>
        <w:jc w:val="both"/>
        <w:rPr>
          <w:rFonts w:ascii="Verdana" w:hAnsi="Verdana" w:cs="Arial"/>
          <w:lang w:val="es-CO"/>
        </w:rPr>
      </w:pPr>
      <w:r w:rsidRPr="003B33FD">
        <w:rPr>
          <w:rFonts w:ascii="Verdana" w:hAnsi="Verdana" w:cs="Arial"/>
          <w:lang w:val="es-CO"/>
        </w:rPr>
        <w:t>Activo intangible — NIC 38 (el caso más común). La servidumbre es un derecho identificable, sin sustancia física, controlado y del que se esperan beneficios económicos por lo que cumple la definición de intangible. Si la servidumbre tiene vida útil finita (plazo contractual, o limitada por la vida del acueducto que sirve, o por factores económicos) se amortiza y es en este caso que la regulación reconoce este costo en el CMA y CMO según corresponda. Si la servidumbre es perpetua / de vida útil indefinida no se amortiza, se mantiene al costo y se le hace prueba de deterioro anual (NIC 36), por lo que es este caso particular el objeto del análisis que se hace a continuación.</w:t>
      </w:r>
    </w:p>
    <w:p w14:paraId="08E98D95" w14:textId="77777777" w:rsidR="005C4F15" w:rsidRPr="003B33FD" w:rsidRDefault="005C4F15" w:rsidP="005C4F15">
      <w:pPr>
        <w:jc w:val="both"/>
        <w:rPr>
          <w:rFonts w:ascii="Verdana" w:hAnsi="Verdana" w:cs="Arial"/>
          <w:lang w:val="es-CO"/>
        </w:rPr>
      </w:pPr>
    </w:p>
    <w:p w14:paraId="02E9318C" w14:textId="67110FD8" w:rsidR="005C4F15" w:rsidRPr="003B33FD" w:rsidRDefault="005C4F15" w:rsidP="005C4F15">
      <w:pPr>
        <w:numPr>
          <w:ilvl w:val="0"/>
          <w:numId w:val="10"/>
        </w:numPr>
        <w:jc w:val="both"/>
        <w:rPr>
          <w:rFonts w:ascii="Verdana" w:hAnsi="Verdana" w:cs="Arial"/>
          <w:lang w:val="es-CO"/>
        </w:rPr>
      </w:pPr>
      <w:r w:rsidRPr="003B33FD">
        <w:rPr>
          <w:rFonts w:ascii="Verdana" w:hAnsi="Verdana" w:cs="Arial"/>
          <w:lang w:val="es-CO"/>
        </w:rPr>
        <w:t xml:space="preserve">Parte del costo de una </w:t>
      </w:r>
      <w:r w:rsidR="00564B0F" w:rsidRPr="003B33FD">
        <w:rPr>
          <w:rFonts w:ascii="Verdana" w:hAnsi="Verdana" w:cs="Arial"/>
          <w:lang w:val="es-CO"/>
        </w:rPr>
        <w:t>propiedad, planta y equipo</w:t>
      </w:r>
      <w:r w:rsidRPr="003B33FD">
        <w:rPr>
          <w:rFonts w:ascii="Verdana" w:hAnsi="Verdana" w:cs="Arial"/>
          <w:lang w:val="es-CO"/>
        </w:rPr>
        <w:t xml:space="preserve"> — NIC 16. Si la servidumbre es indispensable para llevar la infraestructura (tubería, canal, acueducto) "a la ubicación y condición necesarias para operar", su costo puede capitalizarse como parte del activo tangible (NIC 16.16) y entonces se deprecia junto con esa infraestructura, a lo largo de su vida útil. En este caso si la servidumbre hace parte del costo de un activo de infraestructura, este pasaría a reconocerse en el CMI.</w:t>
      </w:r>
    </w:p>
    <w:p w14:paraId="471E85FA" w14:textId="77777777" w:rsidR="005C4F15" w:rsidRPr="003B33FD" w:rsidRDefault="005C4F15" w:rsidP="005C4F15">
      <w:pPr>
        <w:jc w:val="both"/>
        <w:rPr>
          <w:rFonts w:ascii="Verdana" w:hAnsi="Verdana" w:cs="Arial"/>
        </w:rPr>
      </w:pPr>
    </w:p>
    <w:p w14:paraId="7906918D" w14:textId="77777777" w:rsidR="005C4F15" w:rsidRPr="003B33FD" w:rsidRDefault="005C4F15" w:rsidP="005C4F15">
      <w:pPr>
        <w:jc w:val="both"/>
        <w:rPr>
          <w:rFonts w:ascii="Verdana" w:hAnsi="Verdana" w:cs="Arial"/>
        </w:rPr>
      </w:pPr>
      <w:r w:rsidRPr="003B33FD">
        <w:rPr>
          <w:rFonts w:ascii="Verdana" w:hAnsi="Verdana" w:cs="Arial"/>
        </w:rPr>
        <w:t>Una servidumbre de carácter perpetuo y vida útil indefinida se contabiliza como un intangible de vida útil indefinida, la NIC 38 prohíbe su amortización y ordena, en su lugar, una prueba de deterioro anual. En consecuencia, no se genera gasto por amortización alguno por lo que con la remuneración vía CMA o CMO el prestador no recuperaría una inversión real y efectivamente realizada, lo que resulta incompatible con el principio de suficiencia financiera. Por ello, la única lectura coherente del marco tarifario es reconocer la servidumbre como activo afecto en la BCR.</w:t>
      </w:r>
    </w:p>
    <w:p w14:paraId="0C0AB4E1" w14:textId="77777777" w:rsidR="005C4F15" w:rsidRPr="003B33FD" w:rsidRDefault="005C4F15" w:rsidP="005C4F15">
      <w:pPr>
        <w:jc w:val="both"/>
        <w:rPr>
          <w:rFonts w:ascii="Verdana" w:hAnsi="Verdana" w:cs="Arial"/>
        </w:rPr>
      </w:pPr>
    </w:p>
    <w:p w14:paraId="11C9C986" w14:textId="77777777" w:rsidR="005C4F15" w:rsidRPr="003B33FD" w:rsidRDefault="005C4F15" w:rsidP="005C4F15">
      <w:pPr>
        <w:jc w:val="both"/>
        <w:rPr>
          <w:rFonts w:ascii="Verdana" w:hAnsi="Verdana" w:cs="Arial"/>
        </w:rPr>
      </w:pPr>
      <w:r w:rsidRPr="003B33FD">
        <w:rPr>
          <w:rFonts w:ascii="Verdana" w:hAnsi="Verdana" w:cs="Arial"/>
        </w:rPr>
        <w:lastRenderedPageBreak/>
        <w:t xml:space="preserve">La servidumbre es el derecho real que permite que la infraestructura de conducción (tubería, aducción o canal) ocupe y atraviese el predio sirviente. Sin ese derecho, el activo físico no puede instalarse ni operar. Existe, por tanto, una afectación directa, permanente e indispensable a la prestación del servicio, idéntica en su lógica a la del terreno sobre el cual se asienta la infraestructura. Su naturaleza es la de un componente del capital invertido en el sistema.  La definición de BCR exige precisamente eso —que el activo esté "afecto a la prestación del servicio"—, condición que la servidumbre cumple de manera plena cuando está asociada a un tramo o componente determinado de la red.  </w:t>
      </w:r>
    </w:p>
    <w:p w14:paraId="0544CC7C" w14:textId="77777777" w:rsidR="005C4F15" w:rsidRPr="003B33FD" w:rsidRDefault="005C4F15" w:rsidP="005C4F15">
      <w:pPr>
        <w:jc w:val="both"/>
        <w:rPr>
          <w:rFonts w:ascii="Verdana" w:hAnsi="Verdana" w:cs="Arial"/>
        </w:rPr>
      </w:pPr>
    </w:p>
    <w:p w14:paraId="3B656A5E" w14:textId="77777777" w:rsidR="005C4F15" w:rsidRPr="003B33FD" w:rsidRDefault="005C4F15" w:rsidP="005C4F15">
      <w:pPr>
        <w:jc w:val="both"/>
        <w:rPr>
          <w:rFonts w:ascii="Verdana" w:hAnsi="Verdana" w:cs="Arial"/>
        </w:rPr>
      </w:pPr>
      <w:r w:rsidRPr="003B33FD">
        <w:rPr>
          <w:rFonts w:ascii="Verdana" w:hAnsi="Verdana" w:cs="Arial"/>
        </w:rPr>
        <w:t>Una servidumbre de vida útil indefinida se comporta de manera contablemente idéntica a un terreno: no pierde valor por el uso, no se amortiza y se mantiene en libros a su costo. Por consiguiente, encaja sin esfuerzo dentro de una definición de BCR que ya contempla activos no depreciables. La ausencia de depreciación o amortización no es un obstáculo para su inclusión: es, justamente, la característica que hace que el mecanismo de remuneración correcto sea el retorno sobre el capital y no la amortización.</w:t>
      </w:r>
    </w:p>
    <w:p w14:paraId="3CAE7044" w14:textId="77777777" w:rsidR="005C4F15" w:rsidRPr="003B33FD" w:rsidRDefault="005C4F15" w:rsidP="005C4F15">
      <w:pPr>
        <w:jc w:val="both"/>
        <w:rPr>
          <w:rFonts w:ascii="Verdana" w:hAnsi="Verdana" w:cs="Arial"/>
        </w:rPr>
      </w:pPr>
    </w:p>
    <w:p w14:paraId="7C4BBCAB" w14:textId="0B15AB8F" w:rsidR="00065145" w:rsidRPr="003B33FD" w:rsidRDefault="005C4F15" w:rsidP="005C4F15">
      <w:pPr>
        <w:jc w:val="both"/>
        <w:rPr>
          <w:rFonts w:ascii="Verdana" w:hAnsi="Verdana" w:cs="Arial"/>
        </w:rPr>
      </w:pPr>
      <w:r w:rsidRPr="003B33FD">
        <w:rPr>
          <w:rFonts w:ascii="Verdana" w:hAnsi="Verdana" w:cs="Arial"/>
        </w:rPr>
        <w:t>La servidumbre de acueducto de carácter perpetuo y vida útil indefinida, por estar afecta de manera directa, permanente e indispensable a la prestación del servicio, constituye un activo integrable a la Base de Capital Regulada y remunerable a través del Costo Medio de Inversión mediante la tasa de descuento regulada, en condiciones análogas a las de los terrenos.</w:t>
      </w:r>
    </w:p>
    <w:p w14:paraId="011831AE" w14:textId="77777777" w:rsidR="005C4F15" w:rsidRPr="003B33FD" w:rsidRDefault="005C4F15" w:rsidP="004E7521">
      <w:pPr>
        <w:jc w:val="both"/>
        <w:rPr>
          <w:rFonts w:ascii="Verdana" w:hAnsi="Verdana" w:cs="Arial"/>
        </w:rPr>
      </w:pPr>
    </w:p>
    <w:p w14:paraId="4EB44BC8" w14:textId="58855DED" w:rsidR="0037659E" w:rsidRPr="003B33FD" w:rsidRDefault="0037659E" w:rsidP="0037659E">
      <w:pPr>
        <w:pStyle w:val="Prrafodelista"/>
        <w:numPr>
          <w:ilvl w:val="0"/>
          <w:numId w:val="9"/>
        </w:numPr>
        <w:ind w:left="567" w:hanging="283"/>
        <w:jc w:val="both"/>
        <w:rPr>
          <w:rFonts w:ascii="Verdana" w:hAnsi="Verdana" w:cs="Arial"/>
          <w:b/>
          <w:bCs/>
          <w:i/>
          <w:iCs/>
        </w:rPr>
      </w:pPr>
      <w:r w:rsidRPr="003B33FD">
        <w:rPr>
          <w:rFonts w:ascii="Verdana" w:hAnsi="Verdana" w:cs="Arial"/>
          <w:b/>
          <w:bCs/>
          <w:i/>
          <w:iCs/>
        </w:rPr>
        <w:t>Gastos de Gestión Ambiental y Gestión del Riesgo</w:t>
      </w:r>
    </w:p>
    <w:p w14:paraId="5C2ED52C" w14:textId="77777777" w:rsidR="001D5C41" w:rsidRPr="003B33FD" w:rsidRDefault="001D5C41" w:rsidP="001D5C41">
      <w:pPr>
        <w:jc w:val="both"/>
        <w:rPr>
          <w:rFonts w:ascii="Verdana" w:hAnsi="Verdana" w:cs="Arial"/>
          <w:b/>
          <w:bCs/>
          <w:i/>
          <w:iCs/>
        </w:rPr>
      </w:pPr>
    </w:p>
    <w:p w14:paraId="383E2524" w14:textId="17A339AA" w:rsidR="0037659E" w:rsidRPr="003B33FD" w:rsidRDefault="0037659E" w:rsidP="0037659E">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correcto entender que, de conformidad con el documento de trabajo, pueden incluirse todos los costos administrativos de carácter ambiental, sin que estos deban estar restringidos únicamente a actividades de sensibilización, comunicación y capacitación?</w:t>
      </w:r>
    </w:p>
    <w:p w14:paraId="09FD2FA2" w14:textId="77777777" w:rsidR="001D5C41" w:rsidRPr="003B33FD" w:rsidRDefault="001D5C41" w:rsidP="0037659E">
      <w:pPr>
        <w:jc w:val="both"/>
        <w:rPr>
          <w:rFonts w:ascii="Verdana" w:hAnsi="Verdana" w:cs="Arial"/>
        </w:rPr>
      </w:pPr>
    </w:p>
    <w:p w14:paraId="7E862BB3" w14:textId="77777777" w:rsidR="007B67F0" w:rsidRPr="003B33FD" w:rsidRDefault="007B67F0" w:rsidP="007B67F0">
      <w:pPr>
        <w:jc w:val="both"/>
        <w:rPr>
          <w:rFonts w:ascii="Verdana" w:hAnsi="Verdana" w:cs="Arial"/>
        </w:rPr>
      </w:pPr>
      <w:r w:rsidRPr="003B33FD">
        <w:rPr>
          <w:rFonts w:ascii="Verdana" w:hAnsi="Verdana" w:cs="Arial"/>
        </w:rPr>
        <w:t xml:space="preserve">En el ARTÍCULO 2.1.2.1.3.2.4, literal 6. Costos administrativos de inversiones ambientales, se establecieron los costos asociados a este componente. Lo anterior deja claro que si pueden ser diferentes a sensibilización, comunicación y capacitación entendiendo que la gestión ambiental y de riesgo asociada a costos administrativos no tienen solo relación con este componente y que debe relacionarse con los objetivos propios de los instrumentos de planeación. </w:t>
      </w:r>
    </w:p>
    <w:p w14:paraId="7C477A8B" w14:textId="77777777" w:rsidR="007B67F0" w:rsidRPr="003B33FD" w:rsidRDefault="007B67F0" w:rsidP="007B67F0">
      <w:pPr>
        <w:jc w:val="both"/>
        <w:rPr>
          <w:rFonts w:ascii="Verdana" w:hAnsi="Verdana" w:cs="Arial"/>
        </w:rPr>
      </w:pPr>
    </w:p>
    <w:p w14:paraId="4BCA6289" w14:textId="5D3524E6" w:rsidR="001D5C41" w:rsidRPr="003B33FD" w:rsidRDefault="007B67F0" w:rsidP="007B67F0">
      <w:pPr>
        <w:jc w:val="both"/>
        <w:rPr>
          <w:rFonts w:ascii="Verdana" w:hAnsi="Verdana" w:cs="Arial"/>
        </w:rPr>
      </w:pPr>
      <w:r w:rsidRPr="003B33FD">
        <w:rPr>
          <w:rFonts w:ascii="Verdana" w:hAnsi="Verdana" w:cs="Arial"/>
        </w:rPr>
        <w:lastRenderedPageBreak/>
        <w:t>Se incluyen los gastos de gestión ambiental y de gestión del riesgo de actividades administrativas asociadas a la sensibilización, comunicación y capacitación del Programa de Ahorro y Uso Eficiente del Agua-PUEAA, el Plan de Gestión del Riesgo para el manejo de vertimientos, Plan de Emergencia y Contingencia u otro instrumento de planeación o actividad ligado a obligaciones ambientales y de gestión del riesgo o las asociadas a Inversiones Ambientales Adicionales-IAA establecidas en el Plan de Sostenibilidad Hídrica-PSH.</w:t>
      </w:r>
    </w:p>
    <w:p w14:paraId="411AEC99" w14:textId="77777777" w:rsidR="001D5C41" w:rsidRPr="003B33FD" w:rsidRDefault="001D5C41" w:rsidP="0037659E">
      <w:pPr>
        <w:jc w:val="both"/>
        <w:rPr>
          <w:rFonts w:ascii="Verdana" w:hAnsi="Verdana" w:cs="Arial"/>
        </w:rPr>
      </w:pPr>
    </w:p>
    <w:p w14:paraId="4CB01999" w14:textId="0C2B4DB3" w:rsidR="0037659E" w:rsidRPr="003B33FD" w:rsidRDefault="0037659E" w:rsidP="007D3F06">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En caso de que el alcance previsto en el documento de trabajo sea el criterio aplicable, ¿procedería ajustar o precisar el artículo 2.1.2.1.3.2.4 de la Resolución CRA 1032 de 2026 para que la regulación recoja expresamente que los gastos de gestión ambiental y gestión del riesgo no se limitan a actividades de sensibilización, comunicación y capacitación?</w:t>
      </w:r>
      <w:r w:rsidR="007D3F06" w:rsidRPr="003B33FD">
        <w:rPr>
          <w:rFonts w:ascii="Verdana" w:hAnsi="Verdana" w:cs="Arial"/>
          <w:b/>
          <w:bCs/>
          <w:i/>
          <w:iCs/>
        </w:rPr>
        <w:t xml:space="preserve"> </w:t>
      </w:r>
    </w:p>
    <w:p w14:paraId="1359DD9E" w14:textId="77777777" w:rsidR="00835D87" w:rsidRPr="003B33FD" w:rsidRDefault="00835D87" w:rsidP="004E7521">
      <w:pPr>
        <w:jc w:val="both"/>
        <w:rPr>
          <w:rFonts w:ascii="Verdana" w:hAnsi="Verdana" w:cs="Arial"/>
        </w:rPr>
      </w:pPr>
    </w:p>
    <w:p w14:paraId="24DF386D" w14:textId="1ACECC56" w:rsidR="002D581E" w:rsidRPr="003B33FD" w:rsidRDefault="001F2D6C" w:rsidP="004E7521">
      <w:pPr>
        <w:jc w:val="both"/>
        <w:rPr>
          <w:rFonts w:ascii="Verdana" w:hAnsi="Verdana" w:cs="Arial"/>
        </w:rPr>
      </w:pPr>
      <w:r w:rsidRPr="003B33FD">
        <w:rPr>
          <w:rFonts w:ascii="Verdana" w:hAnsi="Verdana" w:cs="Arial"/>
        </w:rPr>
        <w:t>Es</w:t>
      </w:r>
      <w:r w:rsidR="003B33FD">
        <w:rPr>
          <w:rFonts w:ascii="Verdana" w:hAnsi="Verdana" w:cs="Arial"/>
        </w:rPr>
        <w:t>ta</w:t>
      </w:r>
      <w:r w:rsidRPr="003B33FD">
        <w:rPr>
          <w:rFonts w:ascii="Verdana" w:hAnsi="Verdana" w:cs="Arial"/>
        </w:rPr>
        <w:t xml:space="preserve"> solicitud será analizada por el equipo técnico y jurídico en los procesos internos de la Comisión de Regulación con el propósito de fortalecer la implementación del marco tarifario en cuestión.</w:t>
      </w:r>
    </w:p>
    <w:p w14:paraId="62E94733" w14:textId="77777777" w:rsidR="001F2D6C" w:rsidRPr="003B33FD" w:rsidRDefault="001F2D6C" w:rsidP="004E7521">
      <w:pPr>
        <w:jc w:val="both"/>
        <w:rPr>
          <w:rFonts w:ascii="Verdana" w:hAnsi="Verdana" w:cs="Arial"/>
        </w:rPr>
      </w:pPr>
    </w:p>
    <w:p w14:paraId="46712377" w14:textId="7BCE79B7" w:rsidR="002D581E" w:rsidRPr="003B33FD" w:rsidRDefault="002D581E" w:rsidP="002D581E">
      <w:pPr>
        <w:pStyle w:val="Prrafodelista"/>
        <w:numPr>
          <w:ilvl w:val="0"/>
          <w:numId w:val="9"/>
        </w:numPr>
        <w:ind w:left="567" w:hanging="283"/>
        <w:jc w:val="both"/>
        <w:rPr>
          <w:rFonts w:ascii="Verdana" w:hAnsi="Verdana" w:cs="Arial"/>
          <w:b/>
          <w:bCs/>
          <w:i/>
          <w:iCs/>
        </w:rPr>
      </w:pPr>
      <w:r w:rsidRPr="003B33FD">
        <w:rPr>
          <w:rFonts w:ascii="Verdana" w:hAnsi="Verdana" w:cs="Arial"/>
          <w:b/>
          <w:bCs/>
          <w:i/>
          <w:iCs/>
        </w:rPr>
        <w:t>Inclusión de inversiones para reducción de pérdidas técnicas y comerciales</w:t>
      </w:r>
      <w:r w:rsidR="0016459E" w:rsidRPr="003B33FD">
        <w:rPr>
          <w:rFonts w:ascii="Verdana" w:hAnsi="Verdana" w:cs="Arial"/>
          <w:b/>
          <w:bCs/>
          <w:i/>
          <w:iCs/>
        </w:rPr>
        <w:t xml:space="preserve">  </w:t>
      </w:r>
    </w:p>
    <w:p w14:paraId="1015EE22" w14:textId="77777777" w:rsidR="002D581E" w:rsidRPr="003B33FD" w:rsidRDefault="002D581E" w:rsidP="002D581E">
      <w:pPr>
        <w:jc w:val="both"/>
        <w:rPr>
          <w:rFonts w:ascii="Verdana" w:hAnsi="Verdana" w:cs="Arial"/>
          <w:lang w:val="es-CO"/>
        </w:rPr>
      </w:pPr>
    </w:p>
    <w:p w14:paraId="66902294" w14:textId="5E36EB9D" w:rsidR="002D581E" w:rsidRPr="003B33FD" w:rsidRDefault="002D581E" w:rsidP="00A837DA">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correcto entender que las inversiones que se incluyan en el Plan de</w:t>
      </w:r>
      <w:r w:rsidR="0038249D" w:rsidRPr="003B33FD">
        <w:rPr>
          <w:rFonts w:ascii="Verdana" w:hAnsi="Verdana" w:cs="Arial"/>
          <w:b/>
          <w:bCs/>
          <w:i/>
          <w:iCs/>
        </w:rPr>
        <w:t xml:space="preserve"> </w:t>
      </w:r>
      <w:r w:rsidRPr="003B33FD">
        <w:rPr>
          <w:rFonts w:ascii="Verdana" w:hAnsi="Verdana" w:cs="Arial"/>
          <w:b/>
          <w:bCs/>
          <w:i/>
          <w:iCs/>
        </w:rPr>
        <w:t>Obras e</w:t>
      </w:r>
      <w:r w:rsidR="0038249D" w:rsidRPr="003B33FD">
        <w:rPr>
          <w:rFonts w:ascii="Verdana" w:hAnsi="Verdana" w:cs="Arial"/>
          <w:b/>
          <w:bCs/>
          <w:i/>
          <w:iCs/>
        </w:rPr>
        <w:t xml:space="preserve"> </w:t>
      </w:r>
      <w:r w:rsidRPr="003B33FD">
        <w:rPr>
          <w:rFonts w:ascii="Verdana" w:hAnsi="Verdana" w:cs="Arial"/>
          <w:b/>
          <w:bCs/>
          <w:i/>
          <w:iCs/>
        </w:rPr>
        <w:t>Inversiones Regulado (POIR), asociadas al Plan de Reducción de</w:t>
      </w:r>
      <w:r w:rsidR="0038249D" w:rsidRPr="003B33FD">
        <w:rPr>
          <w:rFonts w:ascii="Verdana" w:hAnsi="Verdana" w:cs="Arial"/>
          <w:b/>
          <w:bCs/>
          <w:i/>
          <w:iCs/>
        </w:rPr>
        <w:t xml:space="preserve"> </w:t>
      </w:r>
      <w:r w:rsidRPr="003B33FD">
        <w:rPr>
          <w:rFonts w:ascii="Verdana" w:hAnsi="Verdana" w:cs="Arial"/>
          <w:b/>
          <w:bCs/>
          <w:i/>
          <w:iCs/>
        </w:rPr>
        <w:t>Pérdidas (PRP),</w:t>
      </w:r>
      <w:r w:rsidR="0038249D" w:rsidRPr="003B33FD">
        <w:rPr>
          <w:rFonts w:ascii="Verdana" w:hAnsi="Verdana" w:cs="Arial"/>
          <w:b/>
          <w:bCs/>
          <w:i/>
          <w:iCs/>
        </w:rPr>
        <w:t xml:space="preserve"> </w:t>
      </w:r>
      <w:r w:rsidRPr="003B33FD">
        <w:rPr>
          <w:rFonts w:ascii="Verdana" w:hAnsi="Verdana" w:cs="Arial"/>
          <w:b/>
          <w:bCs/>
          <w:i/>
          <w:iCs/>
        </w:rPr>
        <w:t>pueden corresponder tanto a inversiones orientadas a la</w:t>
      </w:r>
      <w:r w:rsidR="0038249D" w:rsidRPr="003B33FD">
        <w:rPr>
          <w:rFonts w:ascii="Verdana" w:hAnsi="Verdana" w:cs="Arial"/>
          <w:b/>
          <w:bCs/>
          <w:i/>
          <w:iCs/>
        </w:rPr>
        <w:t xml:space="preserve"> </w:t>
      </w:r>
      <w:r w:rsidRPr="003B33FD">
        <w:rPr>
          <w:rFonts w:ascii="Verdana" w:hAnsi="Verdana" w:cs="Arial"/>
          <w:b/>
          <w:bCs/>
          <w:i/>
          <w:iCs/>
        </w:rPr>
        <w:t>reducción de pérdidas técnicas</w:t>
      </w:r>
      <w:r w:rsidR="0038249D" w:rsidRPr="003B33FD">
        <w:rPr>
          <w:rFonts w:ascii="Verdana" w:hAnsi="Verdana" w:cs="Arial"/>
          <w:b/>
          <w:bCs/>
          <w:i/>
          <w:iCs/>
        </w:rPr>
        <w:t xml:space="preserve"> </w:t>
      </w:r>
      <w:r w:rsidRPr="003B33FD">
        <w:rPr>
          <w:rFonts w:ascii="Verdana" w:hAnsi="Verdana" w:cs="Arial"/>
          <w:b/>
          <w:bCs/>
          <w:i/>
          <w:iCs/>
        </w:rPr>
        <w:t>como de pérdidas comerciales?</w:t>
      </w:r>
    </w:p>
    <w:p w14:paraId="7A7F1EFE" w14:textId="77777777" w:rsidR="002D581E" w:rsidRPr="003B33FD" w:rsidRDefault="002D581E" w:rsidP="002D581E">
      <w:pPr>
        <w:jc w:val="both"/>
        <w:rPr>
          <w:rFonts w:ascii="Verdana" w:hAnsi="Verdana" w:cs="Arial"/>
        </w:rPr>
      </w:pPr>
    </w:p>
    <w:p w14:paraId="559EC567" w14:textId="21058948" w:rsidR="001E20AD" w:rsidRPr="003B33FD" w:rsidRDefault="001E20AD" w:rsidP="001E20AD">
      <w:pPr>
        <w:jc w:val="both"/>
        <w:rPr>
          <w:rFonts w:ascii="Verdana" w:hAnsi="Verdana" w:cs="Arial"/>
        </w:rPr>
      </w:pPr>
      <w:r w:rsidRPr="003B33FD">
        <w:rPr>
          <w:rFonts w:ascii="Verdana" w:hAnsi="Verdana" w:cs="Arial"/>
        </w:rPr>
        <w:t xml:space="preserve">Al respecto, el artículo 2.1.2.1.3.5.19. de la </w:t>
      </w:r>
      <w:r w:rsidR="00377B32" w:rsidRPr="003B33FD">
        <w:rPr>
          <w:rFonts w:ascii="Verdana" w:hAnsi="Verdana" w:cs="Arial"/>
        </w:rPr>
        <w:t>R</w:t>
      </w:r>
      <w:r w:rsidRPr="003B33FD">
        <w:rPr>
          <w:rFonts w:ascii="Verdana" w:hAnsi="Verdana" w:cs="Arial"/>
        </w:rPr>
        <w:t xml:space="preserve">esolución </w:t>
      </w:r>
      <w:r w:rsidR="00377B32" w:rsidRPr="003B33FD">
        <w:rPr>
          <w:rFonts w:ascii="Verdana" w:hAnsi="Verdana" w:cs="Arial"/>
        </w:rPr>
        <w:t xml:space="preserve">CRA 943 de 2021, incorporado por la </w:t>
      </w:r>
      <w:r w:rsidR="00377B32" w:rsidRPr="003B33FD">
        <w:rPr>
          <w:rFonts w:ascii="Verdana" w:hAnsi="Verdana" w:cs="Arial"/>
        </w:rPr>
        <w:t>Resolución CRA 1032 de 2026</w:t>
      </w:r>
      <w:r w:rsidRPr="003B33FD">
        <w:rPr>
          <w:rFonts w:ascii="Verdana" w:hAnsi="Verdana" w:cs="Arial"/>
        </w:rPr>
        <w:t xml:space="preserve"> establece:</w:t>
      </w:r>
    </w:p>
    <w:p w14:paraId="4707D636" w14:textId="77777777" w:rsidR="001E20AD" w:rsidRPr="003B33FD" w:rsidRDefault="001E20AD" w:rsidP="001E20AD">
      <w:pPr>
        <w:jc w:val="both"/>
        <w:rPr>
          <w:rFonts w:ascii="Verdana" w:hAnsi="Verdana" w:cs="Arial"/>
        </w:rPr>
      </w:pPr>
    </w:p>
    <w:p w14:paraId="12B1AEA3" w14:textId="77777777" w:rsidR="001E20AD" w:rsidRPr="003B33FD" w:rsidRDefault="001E20AD" w:rsidP="00956A81">
      <w:pPr>
        <w:ind w:left="709"/>
        <w:jc w:val="both"/>
        <w:rPr>
          <w:rFonts w:ascii="Verdana" w:hAnsi="Verdana" w:cs="Arial"/>
          <w:i/>
          <w:iCs/>
        </w:rPr>
      </w:pPr>
      <w:r w:rsidRPr="003B33FD">
        <w:rPr>
          <w:rFonts w:ascii="Verdana" w:hAnsi="Verdana" w:cs="Arial"/>
          <w:i/>
          <w:iCs/>
        </w:rPr>
        <w:t>“</w:t>
      </w:r>
      <w:r w:rsidRPr="003B33FD">
        <w:rPr>
          <w:rFonts w:ascii="Verdana" w:hAnsi="Verdana" w:cs="Arial"/>
          <w:b/>
          <w:bCs/>
          <w:i/>
          <w:iCs/>
        </w:rPr>
        <w:t>ARTÍCULO 2.1.2.1.3.5.19. PLAN DE OBRAS E INVERSIONES REGULADO (POIR).</w:t>
      </w:r>
      <w:r w:rsidRPr="003B33FD">
        <w:rPr>
          <w:rFonts w:ascii="Verdana" w:hAnsi="Verdana" w:cs="Arial"/>
          <w:i/>
          <w:iCs/>
        </w:rPr>
        <w:t xml:space="preserve"> El Plan de Obras e Inversiones Regulado (POIR) es el conjunto de proyectos que la persona prestadora considera necesario llevar a cabo para cumplir con los estándares del servicio exigidos a través de la adquisición y/o construcción de activos de infraestructura e inversiones ambientales y de gestión del riesgo afectos a la prestación en el APS de cada uno de los municipios y/o distritos que atiende.</w:t>
      </w:r>
    </w:p>
    <w:p w14:paraId="45854E99" w14:textId="77777777" w:rsidR="001E20AD" w:rsidRPr="003B33FD" w:rsidRDefault="001E20AD" w:rsidP="00956A81">
      <w:pPr>
        <w:ind w:left="709"/>
        <w:jc w:val="both"/>
        <w:rPr>
          <w:rFonts w:ascii="Verdana" w:hAnsi="Verdana" w:cs="Arial"/>
          <w:i/>
          <w:iCs/>
        </w:rPr>
      </w:pPr>
    </w:p>
    <w:p w14:paraId="262523F1" w14:textId="77777777" w:rsidR="001E20AD" w:rsidRPr="003B33FD" w:rsidRDefault="001E20AD" w:rsidP="00956A81">
      <w:pPr>
        <w:ind w:left="709"/>
        <w:jc w:val="both"/>
        <w:rPr>
          <w:rFonts w:ascii="Verdana" w:hAnsi="Verdana" w:cs="Arial"/>
          <w:i/>
          <w:iCs/>
        </w:rPr>
      </w:pPr>
      <w:r w:rsidRPr="003B33FD">
        <w:rPr>
          <w:rFonts w:ascii="Verdana" w:hAnsi="Verdana" w:cs="Arial"/>
          <w:i/>
          <w:iCs/>
        </w:rPr>
        <w:lastRenderedPageBreak/>
        <w:t>(…)”.</w:t>
      </w:r>
    </w:p>
    <w:p w14:paraId="79E09EA7" w14:textId="77777777" w:rsidR="001E20AD" w:rsidRPr="003B33FD" w:rsidRDefault="001E20AD" w:rsidP="001E20AD">
      <w:pPr>
        <w:jc w:val="both"/>
        <w:rPr>
          <w:rFonts w:ascii="Verdana" w:hAnsi="Verdana" w:cs="Arial"/>
        </w:rPr>
      </w:pPr>
    </w:p>
    <w:p w14:paraId="39335F29" w14:textId="143F08F8" w:rsidR="001E20AD" w:rsidRPr="003B33FD" w:rsidRDefault="001E20AD" w:rsidP="001E20AD">
      <w:pPr>
        <w:jc w:val="both"/>
        <w:rPr>
          <w:rFonts w:ascii="Verdana" w:hAnsi="Verdana" w:cs="Arial"/>
        </w:rPr>
      </w:pPr>
      <w:r w:rsidRPr="003B33FD">
        <w:rPr>
          <w:rFonts w:ascii="Verdana" w:hAnsi="Verdana" w:cs="Arial"/>
        </w:rPr>
        <w:t xml:space="preserve">Adicionalmente, el artículo 2.1.2.1.1.3. de la </w:t>
      </w:r>
      <w:r w:rsidR="00055A4D" w:rsidRPr="003B33FD">
        <w:rPr>
          <w:rFonts w:ascii="Verdana" w:hAnsi="Verdana" w:cs="Arial"/>
        </w:rPr>
        <w:t>r</w:t>
      </w:r>
      <w:r w:rsidRPr="003B33FD">
        <w:rPr>
          <w:rFonts w:ascii="Verdana" w:hAnsi="Verdana" w:cs="Arial"/>
        </w:rPr>
        <w:t xml:space="preserve">esolución </w:t>
      </w:r>
      <w:r w:rsidR="00055A4D" w:rsidRPr="003B33FD">
        <w:rPr>
          <w:rFonts w:ascii="Verdana" w:hAnsi="Verdana" w:cs="Arial"/>
        </w:rPr>
        <w:t>ibidem</w:t>
      </w:r>
      <w:r w:rsidRPr="003B33FD">
        <w:rPr>
          <w:rFonts w:ascii="Verdana" w:hAnsi="Verdana" w:cs="Arial"/>
        </w:rPr>
        <w:t xml:space="preserve"> define el plan de reducción de pérdidas así:</w:t>
      </w:r>
    </w:p>
    <w:p w14:paraId="69D8CE24" w14:textId="77777777" w:rsidR="009C7292" w:rsidRDefault="009C7292" w:rsidP="004B1D12">
      <w:pPr>
        <w:ind w:left="709"/>
        <w:jc w:val="both"/>
        <w:rPr>
          <w:rFonts w:ascii="Verdana" w:hAnsi="Verdana" w:cs="Arial"/>
          <w:i/>
          <w:iCs/>
        </w:rPr>
      </w:pPr>
    </w:p>
    <w:p w14:paraId="77A0F8F8" w14:textId="76B07080" w:rsidR="001E20AD" w:rsidRPr="003B33FD" w:rsidRDefault="001E20AD" w:rsidP="004B1D12">
      <w:pPr>
        <w:ind w:left="709"/>
        <w:jc w:val="both"/>
        <w:rPr>
          <w:rFonts w:ascii="Verdana" w:hAnsi="Verdana" w:cs="Arial"/>
          <w:i/>
          <w:iCs/>
        </w:rPr>
      </w:pPr>
      <w:r w:rsidRPr="003B33FD">
        <w:rPr>
          <w:rFonts w:ascii="Verdana" w:hAnsi="Verdana" w:cs="Arial"/>
          <w:i/>
          <w:iCs/>
        </w:rPr>
        <w:t>“</w:t>
      </w:r>
      <w:r w:rsidRPr="003B33FD">
        <w:rPr>
          <w:rFonts w:ascii="Verdana" w:hAnsi="Verdana" w:cs="Arial"/>
          <w:b/>
          <w:bCs/>
          <w:i/>
          <w:iCs/>
        </w:rPr>
        <w:t>Plan de Reducción de Pérdidas -PRP:</w:t>
      </w:r>
      <w:r w:rsidRPr="003B33FD">
        <w:rPr>
          <w:rFonts w:ascii="Verdana" w:hAnsi="Verdana" w:cs="Arial"/>
          <w:i/>
          <w:iCs/>
        </w:rPr>
        <w:t xml:space="preserve"> conjunto de actividades programadas por parte de las personas prestadoras del servicio público domiciliario de acueducto, para la reducción de las pérdidas técnicas y comerciales, que tienen por objeto alcanzar y/o mejorar el estándar de pérdidas aceptables regulatoriamente.”</w:t>
      </w:r>
    </w:p>
    <w:p w14:paraId="757C3ED9" w14:textId="77777777" w:rsidR="001E20AD" w:rsidRPr="003B33FD" w:rsidRDefault="001E20AD" w:rsidP="001E20AD">
      <w:pPr>
        <w:jc w:val="both"/>
        <w:rPr>
          <w:rFonts w:ascii="Verdana" w:hAnsi="Verdana" w:cs="Arial"/>
        </w:rPr>
      </w:pPr>
    </w:p>
    <w:p w14:paraId="3A840C3C" w14:textId="77777777" w:rsidR="001E20AD" w:rsidRPr="003B33FD" w:rsidRDefault="001E20AD" w:rsidP="001E20AD">
      <w:pPr>
        <w:jc w:val="both"/>
        <w:rPr>
          <w:rFonts w:ascii="Verdana" w:hAnsi="Verdana" w:cs="Arial"/>
        </w:rPr>
      </w:pPr>
      <w:r w:rsidRPr="003B33FD">
        <w:rPr>
          <w:rFonts w:ascii="Verdana" w:hAnsi="Verdana" w:cs="Arial"/>
        </w:rPr>
        <w:t>Por lo tanto, las inversiones que se incluyan en el POIR asociadas al Plan de Reducción de Pérdidas (PRP) pueden corresponder tanto a inversiones orientadas a la reducción de pérdidas técnicas como a la reducción de pérdidas comerciales siempre y cuando se encuentren dentro de los componentes de activos de infraestructura o de inversiones ambientales y de gestión de riesgo de la persona prestadora.</w:t>
      </w:r>
    </w:p>
    <w:p w14:paraId="5DCF226B" w14:textId="77777777" w:rsidR="002D581E" w:rsidRPr="003B33FD" w:rsidRDefault="002D581E" w:rsidP="002D581E">
      <w:pPr>
        <w:jc w:val="both"/>
        <w:rPr>
          <w:rFonts w:ascii="Verdana" w:hAnsi="Verdana" w:cs="Arial"/>
        </w:rPr>
      </w:pPr>
    </w:p>
    <w:p w14:paraId="4FBFF735" w14:textId="18C2AE43" w:rsidR="002D581E" w:rsidRPr="003B33FD" w:rsidRDefault="002D581E" w:rsidP="00F36D32">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correcto entender que las inversiones afectas a la prestación del servicio de</w:t>
      </w:r>
      <w:r w:rsidR="003A1177" w:rsidRPr="003B33FD">
        <w:rPr>
          <w:rFonts w:ascii="Verdana" w:hAnsi="Verdana" w:cs="Arial"/>
          <w:b/>
          <w:bCs/>
          <w:i/>
          <w:iCs/>
        </w:rPr>
        <w:t xml:space="preserve"> </w:t>
      </w:r>
      <w:r w:rsidRPr="003B33FD">
        <w:rPr>
          <w:rFonts w:ascii="Verdana" w:hAnsi="Verdana" w:cs="Arial"/>
          <w:b/>
          <w:bCs/>
          <w:i/>
          <w:iCs/>
        </w:rPr>
        <w:t>acueducto que contribuyan a la reducción de pérdidas comerciales pueden ser incluidas</w:t>
      </w:r>
      <w:r w:rsidR="003A1177" w:rsidRPr="003B33FD">
        <w:rPr>
          <w:rFonts w:ascii="Verdana" w:hAnsi="Verdana" w:cs="Arial"/>
          <w:b/>
          <w:bCs/>
          <w:i/>
          <w:iCs/>
        </w:rPr>
        <w:t xml:space="preserve"> </w:t>
      </w:r>
      <w:r w:rsidRPr="003B33FD">
        <w:rPr>
          <w:rFonts w:ascii="Verdana" w:hAnsi="Verdana" w:cs="Arial"/>
          <w:b/>
          <w:bCs/>
          <w:i/>
          <w:iCs/>
        </w:rPr>
        <w:t>en el POIR y en la BCR, siempre que estén debidamente justificadas en el PRP?</w:t>
      </w:r>
    </w:p>
    <w:p w14:paraId="7AC078BA" w14:textId="77777777" w:rsidR="004109C1" w:rsidRPr="003B33FD" w:rsidRDefault="004109C1" w:rsidP="004E7521">
      <w:pPr>
        <w:jc w:val="both"/>
        <w:rPr>
          <w:rFonts w:ascii="Verdana" w:hAnsi="Verdana" w:cs="Arial"/>
        </w:rPr>
      </w:pPr>
    </w:p>
    <w:p w14:paraId="35FC992E" w14:textId="77777777" w:rsidR="00CD56E3" w:rsidRPr="003B33FD" w:rsidRDefault="00CD56E3" w:rsidP="00CD56E3">
      <w:pPr>
        <w:jc w:val="both"/>
        <w:rPr>
          <w:rFonts w:ascii="Verdana" w:hAnsi="Verdana" w:cs="Arial"/>
        </w:rPr>
      </w:pPr>
      <w:r w:rsidRPr="003B33FD">
        <w:rPr>
          <w:rFonts w:ascii="Verdana" w:hAnsi="Verdana" w:cs="Arial"/>
        </w:rPr>
        <w:t>Sí es correcto, además de lo señalado en la respuesta anterior, el artículo 2.1.2.1.3.5.18 de la resolución en comento dispone:</w:t>
      </w:r>
    </w:p>
    <w:p w14:paraId="368D4B29" w14:textId="77777777" w:rsidR="00CD56E3" w:rsidRPr="003B33FD" w:rsidRDefault="00CD56E3" w:rsidP="00CD56E3">
      <w:pPr>
        <w:jc w:val="both"/>
        <w:rPr>
          <w:rFonts w:ascii="Verdana" w:hAnsi="Verdana" w:cs="Arial"/>
        </w:rPr>
      </w:pPr>
    </w:p>
    <w:p w14:paraId="65892861" w14:textId="77777777" w:rsidR="00CD56E3" w:rsidRPr="003B33FD" w:rsidRDefault="00CD56E3" w:rsidP="00CD56E3">
      <w:pPr>
        <w:ind w:left="708"/>
        <w:jc w:val="both"/>
        <w:rPr>
          <w:rFonts w:ascii="Verdana" w:hAnsi="Verdana" w:cs="Arial"/>
          <w:i/>
          <w:iCs/>
        </w:rPr>
      </w:pPr>
      <w:r w:rsidRPr="003B33FD">
        <w:rPr>
          <w:rFonts w:ascii="Verdana" w:hAnsi="Verdana" w:cs="Arial"/>
          <w:i/>
          <w:iCs/>
        </w:rPr>
        <w:t>“</w:t>
      </w:r>
      <w:r w:rsidRPr="003B33FD">
        <w:rPr>
          <w:rFonts w:ascii="Verdana" w:hAnsi="Verdana" w:cs="Arial"/>
          <w:b/>
          <w:bCs/>
          <w:i/>
          <w:iCs/>
        </w:rPr>
        <w:t>ARTÍCULO 2.1.2.1.3.5.18. CRITERIOS REGULATORIOS PARA LA INCLUSIÓN DE ACTIVOS A LA BCR.</w:t>
      </w:r>
      <w:r w:rsidRPr="003B33FD">
        <w:rPr>
          <w:rFonts w:ascii="Verdana" w:hAnsi="Verdana" w:cs="Arial"/>
          <w:i/>
          <w:iCs/>
        </w:rPr>
        <w:t xml:space="preserve"> Los activos que se incluyan en el CMI para los servicios públicos domiciliarios de acueducto y alcantarillado deberán considerar los siguientes criterios regulatorios para su recuperación y remuneración en la BCR, además de los señalados según el componente al que se encuentren asociados:</w:t>
      </w:r>
    </w:p>
    <w:p w14:paraId="59DEEBD3" w14:textId="77777777" w:rsidR="00CD56E3" w:rsidRPr="003B33FD" w:rsidRDefault="00CD56E3" w:rsidP="00CD56E3">
      <w:pPr>
        <w:ind w:left="708"/>
        <w:jc w:val="both"/>
        <w:rPr>
          <w:rFonts w:ascii="Verdana" w:hAnsi="Verdana" w:cs="Arial"/>
          <w:i/>
          <w:iCs/>
        </w:rPr>
      </w:pPr>
    </w:p>
    <w:p w14:paraId="5809EEA5" w14:textId="77777777" w:rsidR="00CD56E3" w:rsidRPr="003B33FD" w:rsidRDefault="00CD56E3" w:rsidP="00CD56E3">
      <w:pPr>
        <w:ind w:left="708"/>
        <w:jc w:val="both"/>
        <w:rPr>
          <w:rFonts w:ascii="Verdana" w:hAnsi="Verdana" w:cs="Arial"/>
          <w:i/>
          <w:iCs/>
        </w:rPr>
      </w:pPr>
      <w:r w:rsidRPr="003B33FD">
        <w:rPr>
          <w:rFonts w:ascii="Verdana" w:hAnsi="Verdana" w:cs="Arial"/>
          <w:b/>
          <w:bCs/>
          <w:i/>
          <w:iCs/>
        </w:rPr>
        <w:t xml:space="preserve">A. Criterios regulatorios generales para la inclusión de activos a la BCR. </w:t>
      </w:r>
      <w:r w:rsidRPr="003B33FD">
        <w:rPr>
          <w:rFonts w:ascii="Verdana" w:hAnsi="Verdana" w:cs="Arial"/>
          <w:i/>
          <w:iCs/>
        </w:rPr>
        <w:t>Los activos deberán tener en cuenta los criterios definidos a continuación:</w:t>
      </w:r>
    </w:p>
    <w:p w14:paraId="1015067D" w14:textId="77777777" w:rsidR="00CD56E3" w:rsidRPr="003B33FD" w:rsidRDefault="00CD56E3" w:rsidP="00CD56E3">
      <w:pPr>
        <w:ind w:left="708"/>
        <w:jc w:val="both"/>
        <w:rPr>
          <w:rFonts w:ascii="Verdana" w:hAnsi="Verdana" w:cs="Arial"/>
          <w:i/>
          <w:iCs/>
        </w:rPr>
      </w:pPr>
    </w:p>
    <w:p w14:paraId="11A69506" w14:textId="77777777" w:rsidR="00CD56E3" w:rsidRPr="003B33FD" w:rsidRDefault="00CD56E3" w:rsidP="00CD56E3">
      <w:pPr>
        <w:ind w:left="708"/>
        <w:jc w:val="both"/>
        <w:rPr>
          <w:rFonts w:ascii="Verdana" w:hAnsi="Verdana" w:cs="Arial"/>
          <w:i/>
          <w:iCs/>
        </w:rPr>
      </w:pPr>
      <w:r w:rsidRPr="003B33FD">
        <w:rPr>
          <w:rFonts w:ascii="Verdana" w:hAnsi="Verdana" w:cs="Arial"/>
          <w:i/>
          <w:iCs/>
        </w:rPr>
        <w:t>(…)</w:t>
      </w:r>
    </w:p>
    <w:p w14:paraId="3EAFAFB7" w14:textId="77777777" w:rsidR="00CD56E3" w:rsidRPr="003B33FD" w:rsidRDefault="00CD56E3" w:rsidP="00CD56E3">
      <w:pPr>
        <w:ind w:left="708"/>
        <w:jc w:val="both"/>
        <w:rPr>
          <w:rFonts w:ascii="Verdana" w:hAnsi="Verdana" w:cs="Arial"/>
          <w:i/>
          <w:iCs/>
        </w:rPr>
      </w:pPr>
    </w:p>
    <w:p w14:paraId="74F4E395" w14:textId="77777777" w:rsidR="00CD56E3" w:rsidRPr="003B33FD" w:rsidRDefault="00CD56E3" w:rsidP="00CD56E3">
      <w:pPr>
        <w:ind w:left="708"/>
        <w:jc w:val="both"/>
        <w:rPr>
          <w:rFonts w:ascii="Verdana" w:hAnsi="Verdana" w:cs="Arial"/>
          <w:i/>
          <w:iCs/>
        </w:rPr>
      </w:pPr>
      <w:r w:rsidRPr="003B33FD">
        <w:rPr>
          <w:rFonts w:ascii="Verdana" w:hAnsi="Verdana" w:cs="Arial"/>
          <w:i/>
          <w:iCs/>
        </w:rPr>
        <w:t>7.</w:t>
      </w:r>
      <w:r w:rsidRPr="003B33FD">
        <w:rPr>
          <w:rFonts w:ascii="Verdana" w:hAnsi="Verdana" w:cs="Arial"/>
          <w:i/>
          <w:iCs/>
        </w:rPr>
        <w:tab/>
        <w:t>Identificación: cada activo deberá estar identificado, como mínimo con los siguientes elementos:</w:t>
      </w:r>
    </w:p>
    <w:p w14:paraId="3061635B" w14:textId="77777777" w:rsidR="00CD56E3" w:rsidRPr="003B33FD" w:rsidRDefault="00CD56E3" w:rsidP="00CD56E3">
      <w:pPr>
        <w:ind w:left="708"/>
        <w:jc w:val="both"/>
        <w:rPr>
          <w:rFonts w:ascii="Verdana" w:hAnsi="Verdana" w:cs="Arial"/>
          <w:i/>
          <w:iCs/>
        </w:rPr>
      </w:pPr>
      <w:r w:rsidRPr="003B33FD">
        <w:rPr>
          <w:rFonts w:ascii="Verdana" w:hAnsi="Verdana" w:cs="Arial"/>
          <w:i/>
          <w:iCs/>
        </w:rPr>
        <w:lastRenderedPageBreak/>
        <w:t>i.</w:t>
      </w:r>
      <w:r w:rsidRPr="003B33FD">
        <w:rPr>
          <w:rFonts w:ascii="Verdana" w:hAnsi="Verdana" w:cs="Arial"/>
          <w:i/>
          <w:iCs/>
        </w:rPr>
        <w:tab/>
        <w:t>Identificación del activo.</w:t>
      </w:r>
    </w:p>
    <w:p w14:paraId="232D55EE" w14:textId="77777777" w:rsidR="00CD56E3" w:rsidRPr="003B33FD" w:rsidRDefault="00CD56E3" w:rsidP="00CD56E3">
      <w:pPr>
        <w:ind w:left="708"/>
        <w:jc w:val="both"/>
        <w:rPr>
          <w:rFonts w:ascii="Verdana" w:hAnsi="Verdana" w:cs="Arial"/>
          <w:i/>
          <w:iCs/>
        </w:rPr>
      </w:pPr>
      <w:proofErr w:type="spellStart"/>
      <w:r w:rsidRPr="003B33FD">
        <w:rPr>
          <w:rFonts w:ascii="Verdana" w:hAnsi="Verdana" w:cs="Arial"/>
          <w:i/>
          <w:iCs/>
        </w:rPr>
        <w:t>ii</w:t>
      </w:r>
      <w:proofErr w:type="spellEnd"/>
      <w:r w:rsidRPr="003B33FD">
        <w:rPr>
          <w:rFonts w:ascii="Verdana" w:hAnsi="Verdana" w:cs="Arial"/>
          <w:i/>
          <w:iCs/>
        </w:rPr>
        <w:t>.</w:t>
      </w:r>
      <w:r w:rsidRPr="003B33FD">
        <w:rPr>
          <w:rFonts w:ascii="Verdana" w:hAnsi="Verdana" w:cs="Arial"/>
          <w:i/>
          <w:iCs/>
        </w:rPr>
        <w:tab/>
        <w:t>Servicio.</w:t>
      </w:r>
    </w:p>
    <w:p w14:paraId="1D4643F6" w14:textId="77777777" w:rsidR="00CD56E3" w:rsidRPr="003B33FD" w:rsidRDefault="00CD56E3" w:rsidP="00CD56E3">
      <w:pPr>
        <w:ind w:left="708"/>
        <w:jc w:val="both"/>
        <w:rPr>
          <w:rFonts w:ascii="Verdana" w:hAnsi="Verdana" w:cs="Arial"/>
          <w:i/>
          <w:iCs/>
        </w:rPr>
      </w:pPr>
      <w:proofErr w:type="spellStart"/>
      <w:r w:rsidRPr="003B33FD">
        <w:rPr>
          <w:rFonts w:ascii="Verdana" w:hAnsi="Verdana" w:cs="Arial"/>
          <w:i/>
          <w:iCs/>
        </w:rPr>
        <w:t>iii</w:t>
      </w:r>
      <w:proofErr w:type="spellEnd"/>
      <w:r w:rsidRPr="003B33FD">
        <w:rPr>
          <w:rFonts w:ascii="Verdana" w:hAnsi="Verdana" w:cs="Arial"/>
          <w:i/>
          <w:iCs/>
        </w:rPr>
        <w:t>.</w:t>
      </w:r>
      <w:r w:rsidRPr="003B33FD">
        <w:rPr>
          <w:rFonts w:ascii="Verdana" w:hAnsi="Verdana" w:cs="Arial"/>
          <w:i/>
          <w:iCs/>
        </w:rPr>
        <w:tab/>
        <w:t>Componente.</w:t>
      </w:r>
    </w:p>
    <w:p w14:paraId="2BA9E632" w14:textId="77777777" w:rsidR="00CD56E3" w:rsidRPr="003B33FD" w:rsidRDefault="00CD56E3" w:rsidP="00CD56E3">
      <w:pPr>
        <w:ind w:left="708"/>
        <w:jc w:val="both"/>
        <w:rPr>
          <w:rFonts w:ascii="Verdana" w:hAnsi="Verdana" w:cs="Arial"/>
          <w:i/>
          <w:iCs/>
        </w:rPr>
      </w:pPr>
      <w:proofErr w:type="spellStart"/>
      <w:r w:rsidRPr="003B33FD">
        <w:rPr>
          <w:rFonts w:ascii="Verdana" w:hAnsi="Verdana" w:cs="Arial"/>
          <w:i/>
          <w:iCs/>
        </w:rPr>
        <w:t>iv</w:t>
      </w:r>
      <w:proofErr w:type="spellEnd"/>
      <w:r w:rsidRPr="003B33FD">
        <w:rPr>
          <w:rFonts w:ascii="Verdana" w:hAnsi="Verdana" w:cs="Arial"/>
          <w:i/>
          <w:iCs/>
        </w:rPr>
        <w:t>.</w:t>
      </w:r>
      <w:r w:rsidRPr="003B33FD">
        <w:rPr>
          <w:rFonts w:ascii="Verdana" w:hAnsi="Verdana" w:cs="Arial"/>
          <w:i/>
          <w:iCs/>
        </w:rPr>
        <w:tab/>
        <w:t>Subsistema.</w:t>
      </w:r>
    </w:p>
    <w:p w14:paraId="2FF0DDFD" w14:textId="77777777" w:rsidR="00CD56E3" w:rsidRPr="003B33FD" w:rsidRDefault="00CD56E3" w:rsidP="00CD56E3">
      <w:pPr>
        <w:ind w:left="708"/>
        <w:jc w:val="both"/>
        <w:rPr>
          <w:rFonts w:ascii="Verdana" w:hAnsi="Verdana" w:cs="Arial"/>
          <w:i/>
          <w:iCs/>
        </w:rPr>
      </w:pPr>
      <w:r w:rsidRPr="003B33FD">
        <w:rPr>
          <w:rFonts w:ascii="Verdana" w:hAnsi="Verdana" w:cs="Arial"/>
          <w:i/>
          <w:iCs/>
        </w:rPr>
        <w:t>v.</w:t>
      </w:r>
      <w:r w:rsidRPr="003B33FD">
        <w:rPr>
          <w:rFonts w:ascii="Verdana" w:hAnsi="Verdana" w:cs="Arial"/>
          <w:i/>
          <w:iCs/>
        </w:rPr>
        <w:tab/>
        <w:t>Actividad.</w:t>
      </w:r>
    </w:p>
    <w:p w14:paraId="4680F3DF" w14:textId="77777777" w:rsidR="00CD56E3" w:rsidRPr="003B33FD" w:rsidRDefault="00CD56E3" w:rsidP="00CD56E3">
      <w:pPr>
        <w:ind w:left="708"/>
        <w:jc w:val="both"/>
        <w:rPr>
          <w:rFonts w:ascii="Verdana" w:hAnsi="Verdana" w:cs="Arial"/>
          <w:i/>
          <w:iCs/>
        </w:rPr>
      </w:pPr>
      <w:r w:rsidRPr="003B33FD">
        <w:rPr>
          <w:rFonts w:ascii="Verdana" w:hAnsi="Verdana" w:cs="Arial"/>
          <w:i/>
          <w:iCs/>
        </w:rPr>
        <w:t>vi.</w:t>
      </w:r>
      <w:r w:rsidRPr="003B33FD">
        <w:rPr>
          <w:rFonts w:ascii="Verdana" w:hAnsi="Verdana" w:cs="Arial"/>
          <w:i/>
          <w:iCs/>
        </w:rPr>
        <w:tab/>
        <w:t xml:space="preserve">Descripción física que incluya la </w:t>
      </w:r>
      <w:proofErr w:type="gramStart"/>
      <w:r w:rsidRPr="003B33FD">
        <w:rPr>
          <w:rFonts w:ascii="Verdana" w:hAnsi="Verdana" w:cs="Arial"/>
          <w:i/>
          <w:iCs/>
        </w:rPr>
        <w:t>geo-referenciación</w:t>
      </w:r>
      <w:proofErr w:type="gramEnd"/>
      <w:r w:rsidRPr="003B33FD">
        <w:rPr>
          <w:rFonts w:ascii="Verdana" w:hAnsi="Verdana" w:cs="Arial"/>
          <w:i/>
          <w:iCs/>
        </w:rPr>
        <w:t xml:space="preserve"> del mismo.</w:t>
      </w:r>
    </w:p>
    <w:p w14:paraId="5C189E5B" w14:textId="77777777" w:rsidR="00CD56E3" w:rsidRPr="003B33FD" w:rsidRDefault="00CD56E3" w:rsidP="00CD56E3">
      <w:pPr>
        <w:ind w:left="708"/>
        <w:jc w:val="both"/>
        <w:rPr>
          <w:rFonts w:ascii="Verdana" w:hAnsi="Verdana" w:cs="Arial"/>
          <w:i/>
          <w:iCs/>
        </w:rPr>
      </w:pPr>
      <w:proofErr w:type="spellStart"/>
      <w:r w:rsidRPr="003B33FD">
        <w:rPr>
          <w:rFonts w:ascii="Verdana" w:hAnsi="Verdana" w:cs="Arial"/>
          <w:i/>
          <w:iCs/>
        </w:rPr>
        <w:t>vii</w:t>
      </w:r>
      <w:proofErr w:type="spellEnd"/>
      <w:r w:rsidRPr="003B33FD">
        <w:rPr>
          <w:rFonts w:ascii="Verdana" w:hAnsi="Verdana" w:cs="Arial"/>
          <w:i/>
          <w:iCs/>
        </w:rPr>
        <w:t>.</w:t>
      </w:r>
      <w:r w:rsidRPr="003B33FD">
        <w:rPr>
          <w:rFonts w:ascii="Verdana" w:hAnsi="Verdana" w:cs="Arial"/>
          <w:i/>
          <w:iCs/>
        </w:rPr>
        <w:tab/>
        <w:t>Breve descripción de las características físicas y/o técnicas del activo.</w:t>
      </w:r>
    </w:p>
    <w:p w14:paraId="377FFBED" w14:textId="77777777" w:rsidR="00CD56E3" w:rsidRPr="003B33FD" w:rsidRDefault="00CD56E3" w:rsidP="00A65065">
      <w:pPr>
        <w:ind w:left="1413" w:hanging="705"/>
        <w:jc w:val="both"/>
        <w:rPr>
          <w:rFonts w:ascii="Verdana" w:hAnsi="Verdana" w:cs="Arial"/>
          <w:i/>
          <w:iCs/>
        </w:rPr>
      </w:pPr>
      <w:proofErr w:type="spellStart"/>
      <w:r w:rsidRPr="003B33FD">
        <w:rPr>
          <w:rFonts w:ascii="Verdana" w:hAnsi="Verdana" w:cs="Arial"/>
          <w:i/>
          <w:iCs/>
        </w:rPr>
        <w:t>viii</w:t>
      </w:r>
      <w:proofErr w:type="spellEnd"/>
      <w:r w:rsidRPr="003B33FD">
        <w:rPr>
          <w:rFonts w:ascii="Verdana" w:hAnsi="Verdana" w:cs="Arial"/>
          <w:i/>
          <w:iCs/>
        </w:rPr>
        <w:t>.</w:t>
      </w:r>
      <w:r w:rsidRPr="003B33FD">
        <w:rPr>
          <w:rFonts w:ascii="Verdana" w:hAnsi="Verdana" w:cs="Arial"/>
          <w:i/>
          <w:iCs/>
        </w:rPr>
        <w:tab/>
        <w:t>Dimensión con la que se relaciona (Cobertura, Calidad del agua potable y las aguas residuales, Continuidad del servicio, otra).</w:t>
      </w:r>
    </w:p>
    <w:p w14:paraId="43F07808" w14:textId="77777777" w:rsidR="00CD56E3" w:rsidRPr="003B33FD" w:rsidRDefault="00CD56E3" w:rsidP="00CD56E3">
      <w:pPr>
        <w:ind w:left="708"/>
        <w:jc w:val="both"/>
        <w:rPr>
          <w:rFonts w:ascii="Verdana" w:hAnsi="Verdana" w:cs="Arial"/>
          <w:i/>
          <w:iCs/>
        </w:rPr>
      </w:pPr>
    </w:p>
    <w:p w14:paraId="7B39A8F0" w14:textId="77777777" w:rsidR="00CD56E3" w:rsidRPr="003B33FD" w:rsidRDefault="00CD56E3" w:rsidP="00CD56E3">
      <w:pPr>
        <w:ind w:left="708"/>
        <w:jc w:val="both"/>
        <w:rPr>
          <w:rFonts w:ascii="Verdana" w:hAnsi="Verdana" w:cs="Arial"/>
          <w:i/>
          <w:iCs/>
        </w:rPr>
      </w:pPr>
      <w:r w:rsidRPr="003B33FD">
        <w:rPr>
          <w:rFonts w:ascii="Verdana" w:hAnsi="Verdana" w:cs="Arial"/>
          <w:i/>
          <w:iCs/>
        </w:rPr>
        <w:t xml:space="preserve">Los activos o proyectos que se incluyan en el POIR deberán incluir adicionalmente lo siguiente: </w:t>
      </w:r>
    </w:p>
    <w:p w14:paraId="6E12FDD0" w14:textId="77777777" w:rsidR="00CD56E3" w:rsidRPr="003B33FD" w:rsidRDefault="00CD56E3" w:rsidP="00CD56E3">
      <w:pPr>
        <w:ind w:left="708"/>
        <w:jc w:val="both"/>
        <w:rPr>
          <w:rFonts w:ascii="Verdana" w:hAnsi="Verdana" w:cs="Arial"/>
          <w:i/>
          <w:iCs/>
        </w:rPr>
      </w:pPr>
    </w:p>
    <w:p w14:paraId="69A013DD" w14:textId="77777777" w:rsidR="00CD56E3" w:rsidRPr="003B33FD" w:rsidRDefault="00CD56E3" w:rsidP="00CD56E3">
      <w:pPr>
        <w:ind w:left="708"/>
        <w:jc w:val="both"/>
        <w:rPr>
          <w:rFonts w:ascii="Verdana" w:hAnsi="Verdana" w:cs="Arial"/>
          <w:i/>
          <w:iCs/>
        </w:rPr>
      </w:pPr>
      <w:r w:rsidRPr="003B33FD">
        <w:rPr>
          <w:rFonts w:ascii="Verdana" w:hAnsi="Verdana" w:cs="Arial"/>
          <w:i/>
          <w:iCs/>
        </w:rPr>
        <w:t xml:space="preserve">i) Cronograma de diseño y ejecución del proyecto, durante el horizonte de proyección de las inversiones. </w:t>
      </w:r>
    </w:p>
    <w:p w14:paraId="3D26F681" w14:textId="77777777" w:rsidR="00CD56E3" w:rsidRPr="003B33FD" w:rsidRDefault="00CD56E3" w:rsidP="00CD56E3">
      <w:pPr>
        <w:ind w:left="708"/>
        <w:jc w:val="both"/>
        <w:rPr>
          <w:rFonts w:ascii="Verdana" w:hAnsi="Verdana" w:cs="Arial"/>
          <w:i/>
          <w:iCs/>
        </w:rPr>
      </w:pPr>
      <w:proofErr w:type="spellStart"/>
      <w:r w:rsidRPr="003B33FD">
        <w:rPr>
          <w:rFonts w:ascii="Verdana" w:hAnsi="Verdana" w:cs="Arial"/>
          <w:i/>
          <w:iCs/>
        </w:rPr>
        <w:t>ii</w:t>
      </w:r>
      <w:proofErr w:type="spellEnd"/>
      <w:r w:rsidRPr="003B33FD">
        <w:rPr>
          <w:rFonts w:ascii="Verdana" w:hAnsi="Verdana" w:cs="Arial"/>
          <w:i/>
          <w:iCs/>
        </w:rPr>
        <w:t>) Montos anuales de inversión del proyecto.</w:t>
      </w:r>
    </w:p>
    <w:p w14:paraId="1ACB77F3" w14:textId="5E53CE7D" w:rsidR="00CD56E3" w:rsidRPr="003B33FD" w:rsidRDefault="00CD56E3" w:rsidP="00CD56E3">
      <w:pPr>
        <w:ind w:left="708"/>
        <w:jc w:val="both"/>
        <w:rPr>
          <w:rFonts w:ascii="Verdana" w:hAnsi="Verdana" w:cs="Arial"/>
          <w:i/>
          <w:iCs/>
        </w:rPr>
      </w:pPr>
      <w:proofErr w:type="spellStart"/>
      <w:r w:rsidRPr="003B33FD">
        <w:rPr>
          <w:rFonts w:ascii="Verdana" w:hAnsi="Verdana" w:cs="Arial"/>
          <w:i/>
          <w:iCs/>
        </w:rPr>
        <w:t>iii</w:t>
      </w:r>
      <w:proofErr w:type="spellEnd"/>
      <w:r w:rsidRPr="003B33FD">
        <w:rPr>
          <w:rFonts w:ascii="Verdana" w:hAnsi="Verdana" w:cs="Arial"/>
          <w:i/>
          <w:iCs/>
        </w:rPr>
        <w:t>)</w:t>
      </w:r>
      <w:r w:rsidR="00A65065" w:rsidRPr="003B33FD">
        <w:rPr>
          <w:rFonts w:ascii="Verdana" w:hAnsi="Verdana" w:cs="Arial"/>
          <w:i/>
          <w:iCs/>
        </w:rPr>
        <w:t xml:space="preserve"> </w:t>
      </w:r>
      <w:r w:rsidRPr="003B33FD">
        <w:rPr>
          <w:rFonts w:ascii="Verdana" w:hAnsi="Verdana" w:cs="Arial"/>
          <w:i/>
          <w:iCs/>
        </w:rPr>
        <w:t>Aporte del proyecto a la(s) meta(s) definida(s) por la persona prestadora para la dimensión o dimensiones a las que está relacionado el proyecto.</w:t>
      </w:r>
    </w:p>
    <w:p w14:paraId="0AC56AE4" w14:textId="77777777" w:rsidR="00CD56E3" w:rsidRPr="003B33FD" w:rsidRDefault="00CD56E3" w:rsidP="00CD56E3">
      <w:pPr>
        <w:ind w:left="708"/>
        <w:jc w:val="both"/>
        <w:rPr>
          <w:rFonts w:ascii="Verdana" w:hAnsi="Verdana" w:cs="Arial"/>
          <w:i/>
          <w:iCs/>
        </w:rPr>
      </w:pPr>
      <w:proofErr w:type="spellStart"/>
      <w:r w:rsidRPr="003B33FD">
        <w:rPr>
          <w:rFonts w:ascii="Verdana" w:hAnsi="Verdana" w:cs="Arial"/>
          <w:i/>
          <w:iCs/>
        </w:rPr>
        <w:t>iv</w:t>
      </w:r>
      <w:proofErr w:type="spellEnd"/>
      <w:r w:rsidRPr="003B33FD">
        <w:rPr>
          <w:rFonts w:ascii="Verdana" w:hAnsi="Verdana" w:cs="Arial"/>
          <w:i/>
          <w:iCs/>
        </w:rPr>
        <w:t>) Soporte del análisis sobre la capacidad financiera de la persona prestadora para llevar a cabo el proyecto, frente a la disponibilidad de recursos.</w:t>
      </w:r>
    </w:p>
    <w:p w14:paraId="52A2567D" w14:textId="77777777" w:rsidR="00CD56E3" w:rsidRPr="003B33FD" w:rsidRDefault="00CD56E3" w:rsidP="00CD56E3">
      <w:pPr>
        <w:ind w:left="708"/>
        <w:jc w:val="both"/>
        <w:rPr>
          <w:rFonts w:ascii="Verdana" w:hAnsi="Verdana" w:cs="Arial"/>
          <w:i/>
          <w:iCs/>
        </w:rPr>
      </w:pPr>
      <w:r w:rsidRPr="003B33FD">
        <w:rPr>
          <w:rFonts w:ascii="Verdana" w:hAnsi="Verdana" w:cs="Arial"/>
          <w:i/>
          <w:iCs/>
        </w:rPr>
        <w:t>v)Municipio beneficiado por el proyecto.</w:t>
      </w:r>
    </w:p>
    <w:p w14:paraId="38DCD2F3" w14:textId="77777777" w:rsidR="00CD56E3" w:rsidRPr="003B33FD" w:rsidRDefault="00CD56E3" w:rsidP="00CD56E3">
      <w:pPr>
        <w:ind w:left="708"/>
        <w:jc w:val="both"/>
        <w:rPr>
          <w:rFonts w:ascii="Verdana" w:hAnsi="Verdana" w:cs="Arial"/>
          <w:i/>
          <w:iCs/>
        </w:rPr>
      </w:pPr>
      <w:r w:rsidRPr="003B33FD">
        <w:rPr>
          <w:rFonts w:ascii="Verdana" w:hAnsi="Verdana" w:cs="Arial"/>
          <w:i/>
          <w:iCs/>
        </w:rPr>
        <w:t>vi) Suscriptores afectados.</w:t>
      </w:r>
    </w:p>
    <w:p w14:paraId="0A959071" w14:textId="77777777" w:rsidR="00CD56E3" w:rsidRPr="003B33FD" w:rsidRDefault="00CD56E3" w:rsidP="00CD56E3">
      <w:pPr>
        <w:ind w:left="708"/>
        <w:jc w:val="both"/>
        <w:rPr>
          <w:rFonts w:ascii="Verdana" w:hAnsi="Verdana" w:cs="Arial"/>
          <w:i/>
          <w:iCs/>
        </w:rPr>
      </w:pPr>
    </w:p>
    <w:p w14:paraId="26D30290" w14:textId="77777777" w:rsidR="00CD56E3" w:rsidRPr="003B33FD" w:rsidRDefault="00CD56E3" w:rsidP="00CD56E3">
      <w:pPr>
        <w:ind w:left="708"/>
        <w:jc w:val="both"/>
        <w:rPr>
          <w:rFonts w:ascii="Verdana" w:hAnsi="Verdana" w:cs="Arial"/>
          <w:i/>
          <w:iCs/>
        </w:rPr>
      </w:pPr>
      <w:r w:rsidRPr="003B33FD">
        <w:rPr>
          <w:rFonts w:ascii="Verdana" w:hAnsi="Verdana" w:cs="Arial"/>
          <w:i/>
          <w:iCs/>
        </w:rPr>
        <w:t>(…)</w:t>
      </w:r>
    </w:p>
    <w:p w14:paraId="08161B0B" w14:textId="77777777" w:rsidR="00CD56E3" w:rsidRPr="003B33FD" w:rsidRDefault="00CD56E3" w:rsidP="00CD56E3">
      <w:pPr>
        <w:ind w:left="708"/>
        <w:jc w:val="both"/>
        <w:rPr>
          <w:rFonts w:ascii="Verdana" w:hAnsi="Verdana" w:cs="Arial"/>
          <w:i/>
          <w:iCs/>
        </w:rPr>
      </w:pPr>
    </w:p>
    <w:p w14:paraId="53182879" w14:textId="77777777" w:rsidR="00CD56E3" w:rsidRPr="003B33FD" w:rsidRDefault="00CD56E3" w:rsidP="00CD56E3">
      <w:pPr>
        <w:ind w:left="708"/>
        <w:jc w:val="both"/>
        <w:rPr>
          <w:rFonts w:ascii="Verdana" w:hAnsi="Verdana" w:cs="Arial"/>
          <w:b/>
          <w:bCs/>
          <w:i/>
          <w:iCs/>
        </w:rPr>
      </w:pPr>
      <w:r w:rsidRPr="003B33FD">
        <w:rPr>
          <w:rFonts w:ascii="Verdana" w:hAnsi="Verdana" w:cs="Arial"/>
          <w:b/>
          <w:bCs/>
          <w:i/>
          <w:iCs/>
        </w:rPr>
        <w:t xml:space="preserve">B. Criterios regulatorios para la inclusión de activos a la BCR por componentes. </w:t>
      </w:r>
    </w:p>
    <w:p w14:paraId="60D57BA1" w14:textId="77777777" w:rsidR="00CD56E3" w:rsidRPr="003B33FD" w:rsidRDefault="00CD56E3" w:rsidP="00CD56E3">
      <w:pPr>
        <w:ind w:left="708"/>
        <w:jc w:val="both"/>
        <w:rPr>
          <w:rFonts w:ascii="Verdana" w:hAnsi="Verdana" w:cs="Arial"/>
          <w:i/>
          <w:iCs/>
        </w:rPr>
      </w:pPr>
    </w:p>
    <w:p w14:paraId="78F4A8E0" w14:textId="77777777" w:rsidR="00CD56E3" w:rsidRPr="003B33FD" w:rsidRDefault="00CD56E3" w:rsidP="00CD56E3">
      <w:pPr>
        <w:ind w:left="708"/>
        <w:jc w:val="both"/>
        <w:rPr>
          <w:rFonts w:ascii="Verdana" w:hAnsi="Verdana" w:cs="Arial"/>
          <w:i/>
          <w:iCs/>
        </w:rPr>
      </w:pPr>
      <w:r w:rsidRPr="003B33FD">
        <w:rPr>
          <w:rFonts w:ascii="Verdana" w:hAnsi="Verdana" w:cs="Arial"/>
          <w:i/>
          <w:iCs/>
        </w:rPr>
        <w:t>Para la recuperación y remuneración de los activos en la BCR, se deberán tener en cuenta los siguientes criterios para cada uno de los componentes:</w:t>
      </w:r>
    </w:p>
    <w:p w14:paraId="5CFF8DF6" w14:textId="77777777" w:rsidR="00CD56E3" w:rsidRPr="003B33FD" w:rsidRDefault="00CD56E3" w:rsidP="00CD56E3">
      <w:pPr>
        <w:ind w:left="708"/>
        <w:jc w:val="both"/>
        <w:rPr>
          <w:rFonts w:ascii="Verdana" w:hAnsi="Verdana" w:cs="Arial"/>
          <w:i/>
          <w:iCs/>
        </w:rPr>
      </w:pPr>
    </w:p>
    <w:p w14:paraId="52F6087B" w14:textId="77777777" w:rsidR="00CD56E3" w:rsidRPr="003B33FD" w:rsidRDefault="00CD56E3" w:rsidP="00CD56E3">
      <w:pPr>
        <w:ind w:left="708"/>
        <w:jc w:val="both"/>
        <w:rPr>
          <w:rFonts w:ascii="Verdana" w:hAnsi="Verdana" w:cs="Arial"/>
          <w:i/>
          <w:iCs/>
        </w:rPr>
      </w:pPr>
      <w:r w:rsidRPr="003B33FD">
        <w:rPr>
          <w:rFonts w:ascii="Verdana" w:hAnsi="Verdana" w:cs="Arial"/>
          <w:i/>
          <w:iCs/>
        </w:rPr>
        <w:t>i.</w:t>
      </w:r>
      <w:r w:rsidRPr="003B33FD">
        <w:rPr>
          <w:rFonts w:ascii="Verdana" w:hAnsi="Verdana" w:cs="Arial"/>
          <w:i/>
          <w:iCs/>
        </w:rPr>
        <w:tab/>
        <w:t>Activos asociados al Componente 1-infraestructura</w:t>
      </w:r>
    </w:p>
    <w:p w14:paraId="43B04906" w14:textId="77777777" w:rsidR="00CD56E3" w:rsidRPr="003B33FD" w:rsidRDefault="00CD56E3" w:rsidP="00CD56E3">
      <w:pPr>
        <w:ind w:left="708"/>
        <w:jc w:val="both"/>
        <w:rPr>
          <w:rFonts w:ascii="Verdana" w:hAnsi="Verdana" w:cs="Arial"/>
          <w:i/>
          <w:iCs/>
        </w:rPr>
      </w:pPr>
    </w:p>
    <w:p w14:paraId="5CEE4C0F" w14:textId="77777777" w:rsidR="00CD56E3" w:rsidRPr="003B33FD" w:rsidRDefault="00CD56E3" w:rsidP="00CD56E3">
      <w:pPr>
        <w:ind w:left="708"/>
        <w:jc w:val="both"/>
        <w:rPr>
          <w:rFonts w:ascii="Verdana" w:hAnsi="Verdana" w:cs="Arial"/>
          <w:i/>
          <w:iCs/>
        </w:rPr>
      </w:pPr>
      <w:r w:rsidRPr="003B33FD">
        <w:rPr>
          <w:rFonts w:ascii="Verdana" w:hAnsi="Verdana" w:cs="Arial"/>
          <w:i/>
          <w:iCs/>
        </w:rPr>
        <w:t>Los activos asociados al Componente 1-infraestructura deberán considerar los siguientes criterios:</w:t>
      </w:r>
    </w:p>
    <w:p w14:paraId="3CE8D655" w14:textId="77777777" w:rsidR="00CD56E3" w:rsidRPr="003B33FD" w:rsidRDefault="00CD56E3" w:rsidP="00CD56E3">
      <w:pPr>
        <w:ind w:left="708"/>
        <w:jc w:val="both"/>
        <w:rPr>
          <w:rFonts w:ascii="Verdana" w:hAnsi="Verdana" w:cs="Arial"/>
          <w:i/>
          <w:iCs/>
        </w:rPr>
      </w:pPr>
    </w:p>
    <w:p w14:paraId="4B735086" w14:textId="77777777" w:rsidR="00CD56E3" w:rsidRPr="003B33FD" w:rsidRDefault="00CD56E3" w:rsidP="00CD56E3">
      <w:pPr>
        <w:ind w:left="708"/>
        <w:jc w:val="both"/>
        <w:rPr>
          <w:rFonts w:ascii="Verdana" w:hAnsi="Verdana" w:cs="Arial"/>
          <w:i/>
          <w:iCs/>
        </w:rPr>
      </w:pPr>
      <w:r w:rsidRPr="003B33FD">
        <w:rPr>
          <w:rFonts w:ascii="Verdana" w:hAnsi="Verdana" w:cs="Arial"/>
          <w:i/>
          <w:iCs/>
        </w:rPr>
        <w:t>(…)</w:t>
      </w:r>
    </w:p>
    <w:p w14:paraId="21E4EFC3" w14:textId="77777777" w:rsidR="00CD56E3" w:rsidRPr="003B33FD" w:rsidRDefault="00CD56E3" w:rsidP="00CD56E3">
      <w:pPr>
        <w:ind w:left="708"/>
        <w:jc w:val="both"/>
        <w:rPr>
          <w:rFonts w:ascii="Verdana" w:hAnsi="Verdana" w:cs="Arial"/>
          <w:i/>
          <w:iCs/>
        </w:rPr>
      </w:pPr>
    </w:p>
    <w:p w14:paraId="66CEBF77" w14:textId="77777777" w:rsidR="00CD56E3" w:rsidRPr="003B33FD" w:rsidRDefault="00CD56E3" w:rsidP="00CD56E3">
      <w:pPr>
        <w:ind w:left="708"/>
        <w:jc w:val="both"/>
        <w:rPr>
          <w:rFonts w:ascii="Verdana" w:hAnsi="Verdana" w:cs="Arial"/>
          <w:i/>
          <w:iCs/>
        </w:rPr>
      </w:pPr>
      <w:r w:rsidRPr="003B33FD">
        <w:rPr>
          <w:rFonts w:ascii="Verdana" w:hAnsi="Verdana" w:cs="Arial"/>
          <w:i/>
          <w:iCs/>
        </w:rPr>
        <w:lastRenderedPageBreak/>
        <w:t>c.</w:t>
      </w:r>
      <w:r w:rsidRPr="003B33FD">
        <w:rPr>
          <w:rFonts w:ascii="Verdana" w:hAnsi="Verdana" w:cs="Arial"/>
          <w:i/>
          <w:iCs/>
        </w:rPr>
        <w:tab/>
        <w:t>Se podrá incluir los activos que contribuyan a la disminución de pérdidas de agua de acuerdo con lo definido en el Plan de Reducción de Pérdidas – PRP</w:t>
      </w:r>
    </w:p>
    <w:p w14:paraId="249417D7" w14:textId="77777777" w:rsidR="00CD56E3" w:rsidRPr="003B33FD" w:rsidRDefault="00CD56E3" w:rsidP="00CD56E3">
      <w:pPr>
        <w:ind w:left="708"/>
        <w:jc w:val="both"/>
        <w:rPr>
          <w:rFonts w:ascii="Verdana" w:hAnsi="Verdana" w:cs="Arial"/>
          <w:i/>
          <w:iCs/>
        </w:rPr>
      </w:pPr>
    </w:p>
    <w:p w14:paraId="60636440" w14:textId="77777777" w:rsidR="00CD56E3" w:rsidRPr="003B33FD" w:rsidRDefault="00CD56E3" w:rsidP="00CD56E3">
      <w:pPr>
        <w:ind w:left="708"/>
        <w:jc w:val="both"/>
        <w:rPr>
          <w:rFonts w:ascii="Verdana" w:hAnsi="Verdana" w:cs="Arial"/>
          <w:i/>
          <w:iCs/>
        </w:rPr>
      </w:pPr>
      <w:r w:rsidRPr="003B33FD">
        <w:rPr>
          <w:rFonts w:ascii="Verdana" w:hAnsi="Verdana" w:cs="Arial"/>
          <w:i/>
          <w:iCs/>
        </w:rPr>
        <w:t>(…)”.</w:t>
      </w:r>
    </w:p>
    <w:p w14:paraId="6009E096" w14:textId="77777777" w:rsidR="00CD56E3" w:rsidRPr="003B33FD" w:rsidRDefault="00CD56E3" w:rsidP="00CD56E3">
      <w:pPr>
        <w:ind w:left="708"/>
        <w:jc w:val="both"/>
        <w:rPr>
          <w:rFonts w:ascii="Verdana" w:hAnsi="Verdana" w:cs="Arial"/>
          <w:i/>
          <w:iCs/>
        </w:rPr>
      </w:pPr>
    </w:p>
    <w:p w14:paraId="0E69019F" w14:textId="433F8F35" w:rsidR="00D62658" w:rsidRPr="003B33FD" w:rsidRDefault="00CD56E3" w:rsidP="00CD56E3">
      <w:pPr>
        <w:jc w:val="both"/>
        <w:rPr>
          <w:rFonts w:ascii="Verdana" w:hAnsi="Verdana" w:cs="Arial"/>
        </w:rPr>
      </w:pPr>
      <w:r w:rsidRPr="003B33FD">
        <w:rPr>
          <w:rFonts w:ascii="Verdana" w:hAnsi="Verdana" w:cs="Arial"/>
        </w:rPr>
        <w:t>Por lo tanto, los activos de infraestructura afectos a la prestación del servicio de acueducto que contribuyan a la reducción de pérdidas comerciales pueden ser incluidos en el POIR y en la BCR, siempre que estén justificad</w:t>
      </w:r>
      <w:r w:rsidR="00A65065" w:rsidRPr="003B33FD">
        <w:rPr>
          <w:rFonts w:ascii="Verdana" w:hAnsi="Verdana" w:cs="Arial"/>
        </w:rPr>
        <w:t>o</w:t>
      </w:r>
      <w:r w:rsidRPr="003B33FD">
        <w:rPr>
          <w:rFonts w:ascii="Verdana" w:hAnsi="Verdana" w:cs="Arial"/>
        </w:rPr>
        <w:t xml:space="preserve">s en el </w:t>
      </w:r>
      <w:r w:rsidR="00A65065" w:rsidRPr="003B33FD">
        <w:rPr>
          <w:rFonts w:ascii="Verdana" w:hAnsi="Verdana" w:cs="Arial"/>
        </w:rPr>
        <w:t>Plan de Reducción de Pérdidas</w:t>
      </w:r>
      <w:r w:rsidRPr="003B33FD">
        <w:rPr>
          <w:rFonts w:ascii="Verdana" w:hAnsi="Verdana" w:cs="Arial"/>
        </w:rPr>
        <w:t xml:space="preserve"> e identificados con base en lo establecido en el numeral 7 del literal A del artículo 2.1.2.1.3.5.18 de la resolución en comento.</w:t>
      </w:r>
    </w:p>
    <w:p w14:paraId="30077829" w14:textId="77777777" w:rsidR="00CC06C5" w:rsidRPr="003B33FD" w:rsidRDefault="00CC06C5" w:rsidP="00CD56E3">
      <w:pPr>
        <w:jc w:val="both"/>
        <w:rPr>
          <w:rFonts w:ascii="Verdana" w:hAnsi="Verdana" w:cs="Arial"/>
        </w:rPr>
      </w:pPr>
    </w:p>
    <w:p w14:paraId="05D80777" w14:textId="24082AA6" w:rsidR="00CC06C5" w:rsidRPr="003B33FD" w:rsidRDefault="00CC06C5" w:rsidP="00CC06C5">
      <w:pPr>
        <w:jc w:val="both"/>
        <w:rPr>
          <w:rFonts w:ascii="Verdana" w:hAnsi="Verdana" w:cs="Arial"/>
        </w:rPr>
      </w:pPr>
      <w:r w:rsidRPr="003B33FD">
        <w:rPr>
          <w:rFonts w:ascii="Verdana" w:hAnsi="Verdana" w:cs="Arial"/>
        </w:rPr>
        <w:t xml:space="preserve">En adición a lo anterior y como se indicó en la Circular 1 de 2026, </w:t>
      </w:r>
      <w:r w:rsidRPr="003B33FD">
        <w:rPr>
          <w:rFonts w:ascii="Verdana" w:hAnsi="Verdana" w:cs="Arial"/>
          <w:i/>
          <w:iCs/>
        </w:rPr>
        <w:t>“</w:t>
      </w:r>
      <w:r w:rsidRPr="003B33FD">
        <w:rPr>
          <w:rFonts w:ascii="Verdana" w:hAnsi="Verdana" w:cs="Arial"/>
          <w:i/>
          <w:iCs/>
          <w:lang w:val="es-CO"/>
        </w:rPr>
        <w:t>el costo del medidor no puede ser asumido como un costo de la prestación del servicio ya que es un costo que está a cargo del usuario o suscriptor y por lo tanto no podría incorporarse en el costo medio de inversión, para ser remunerado a través de la tarifa resultante de la aplicación de la metodología contenida en la Resolución CRA 1032 de 2026.</w:t>
      </w:r>
      <w:r w:rsidRPr="003B33FD">
        <w:rPr>
          <w:rFonts w:ascii="Verdana" w:hAnsi="Verdana" w:cs="Arial"/>
          <w:i/>
          <w:iCs/>
          <w:lang w:val="es-CO"/>
        </w:rPr>
        <w:t>”</w:t>
      </w:r>
    </w:p>
    <w:p w14:paraId="03C32D70" w14:textId="77777777" w:rsidR="00F36D32" w:rsidRPr="003B33FD" w:rsidRDefault="00F36D32" w:rsidP="009F5619">
      <w:pPr>
        <w:jc w:val="both"/>
        <w:rPr>
          <w:rFonts w:ascii="Verdana" w:hAnsi="Verdana" w:cs="Arial"/>
        </w:rPr>
      </w:pPr>
    </w:p>
    <w:p w14:paraId="42BD8AC9" w14:textId="77251C0D" w:rsidR="007C6797" w:rsidRPr="003B33FD" w:rsidRDefault="007C6797" w:rsidP="009844E3">
      <w:pPr>
        <w:pStyle w:val="Prrafodelista"/>
        <w:numPr>
          <w:ilvl w:val="0"/>
          <w:numId w:val="9"/>
        </w:numPr>
        <w:ind w:left="567" w:hanging="283"/>
        <w:jc w:val="both"/>
        <w:rPr>
          <w:rFonts w:ascii="Verdana" w:hAnsi="Verdana" w:cs="Arial"/>
          <w:b/>
          <w:bCs/>
          <w:i/>
          <w:iCs/>
        </w:rPr>
      </w:pPr>
      <w:r w:rsidRPr="003B33FD">
        <w:rPr>
          <w:rFonts w:ascii="Verdana" w:hAnsi="Verdana" w:cs="Arial"/>
          <w:b/>
          <w:bCs/>
          <w:i/>
          <w:iCs/>
        </w:rPr>
        <w:t>Conceptos no identificados en los listados por la Comisión en los criterios administrativos y operativos</w:t>
      </w:r>
    </w:p>
    <w:p w14:paraId="7EC64B7E" w14:textId="77777777" w:rsidR="009844E3" w:rsidRPr="003B33FD" w:rsidRDefault="009844E3" w:rsidP="007C6797">
      <w:pPr>
        <w:jc w:val="both"/>
        <w:rPr>
          <w:rFonts w:ascii="Verdana" w:hAnsi="Verdana" w:cs="Arial"/>
          <w:lang w:val="es-CO"/>
        </w:rPr>
      </w:pPr>
    </w:p>
    <w:p w14:paraId="7A473437" w14:textId="4880A709" w:rsidR="007C6797" w:rsidRPr="003B33FD" w:rsidRDefault="007C6797" w:rsidP="009844E3">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procedente incluir expresamente dentro de las amortizaciones operativas no</w:t>
      </w:r>
      <w:r w:rsidR="00796295" w:rsidRPr="003B33FD">
        <w:rPr>
          <w:rFonts w:ascii="Verdana" w:hAnsi="Verdana" w:cs="Arial"/>
          <w:b/>
          <w:bCs/>
          <w:i/>
          <w:iCs/>
        </w:rPr>
        <w:t xml:space="preserve"> </w:t>
      </w:r>
      <w:r w:rsidRPr="003B33FD">
        <w:rPr>
          <w:rFonts w:ascii="Verdana" w:hAnsi="Verdana" w:cs="Arial"/>
          <w:b/>
          <w:bCs/>
          <w:i/>
          <w:iCs/>
        </w:rPr>
        <w:t>reconocidas los conceptos asociados a bienes muebles en comodato, bienes inmuebles</w:t>
      </w:r>
      <w:r w:rsidR="00796295" w:rsidRPr="003B33FD">
        <w:rPr>
          <w:rFonts w:ascii="Verdana" w:hAnsi="Verdana" w:cs="Arial"/>
          <w:b/>
          <w:bCs/>
          <w:i/>
          <w:iCs/>
        </w:rPr>
        <w:t xml:space="preserve"> </w:t>
      </w:r>
      <w:r w:rsidRPr="003B33FD">
        <w:rPr>
          <w:rFonts w:ascii="Verdana" w:hAnsi="Verdana" w:cs="Arial"/>
          <w:b/>
          <w:bCs/>
          <w:i/>
          <w:iCs/>
        </w:rPr>
        <w:t>en comodato y otros bienes entregados a terceros, cuando estos generen amortizaciones</w:t>
      </w:r>
      <w:r w:rsidR="00796295" w:rsidRPr="003B33FD">
        <w:rPr>
          <w:rFonts w:ascii="Verdana" w:hAnsi="Verdana" w:cs="Arial"/>
          <w:b/>
          <w:bCs/>
          <w:i/>
          <w:iCs/>
        </w:rPr>
        <w:t xml:space="preserve"> </w:t>
      </w:r>
      <w:r w:rsidRPr="003B33FD">
        <w:rPr>
          <w:rFonts w:ascii="Verdana" w:hAnsi="Verdana" w:cs="Arial"/>
          <w:b/>
          <w:bCs/>
          <w:i/>
          <w:iCs/>
        </w:rPr>
        <w:t>de carácter operativo?</w:t>
      </w:r>
      <w:r w:rsidR="00835CCA" w:rsidRPr="003B33FD">
        <w:rPr>
          <w:rFonts w:ascii="Verdana" w:hAnsi="Verdana" w:cs="Arial"/>
          <w:b/>
          <w:bCs/>
          <w:i/>
          <w:iCs/>
        </w:rPr>
        <w:t xml:space="preserve"> </w:t>
      </w:r>
    </w:p>
    <w:p w14:paraId="04F40DD1" w14:textId="77777777" w:rsidR="009C7292" w:rsidRDefault="009C7292" w:rsidP="00C55E6C">
      <w:pPr>
        <w:jc w:val="both"/>
        <w:rPr>
          <w:rFonts w:ascii="Verdana" w:hAnsi="Verdana" w:cs="Arial"/>
        </w:rPr>
      </w:pPr>
    </w:p>
    <w:p w14:paraId="4742E41D" w14:textId="11F1D138" w:rsidR="00C55E6C" w:rsidRPr="003B33FD" w:rsidRDefault="00C55E6C" w:rsidP="00C55E6C">
      <w:pPr>
        <w:jc w:val="both"/>
        <w:rPr>
          <w:rFonts w:ascii="Verdana" w:hAnsi="Verdana" w:cs="Arial"/>
        </w:rPr>
      </w:pPr>
      <w:r w:rsidRPr="003B33FD">
        <w:rPr>
          <w:rFonts w:ascii="Verdana" w:hAnsi="Verdana" w:cs="Arial"/>
        </w:rPr>
        <w:t>No es procedente reconocer en la tarifa las amortizaciones asociadas a bienes muebles en comodato, bienes inmuebles en comodato y otros bienes entregados a terceros, en la medida en que estos no constituyen activos efectivamente necesarios para la prestación del servicio regulado ni requieren reposición con recursos tarifarios. En consecuencia, las amortizaciones derivadas de dichos bienes deben clasificarse expresamente dentro de las amortizaciones operativas no reconocidas para efectos de la metodología y así ser tratadas por el prestador en sus estudios de costos y tarifas.</w:t>
      </w:r>
    </w:p>
    <w:p w14:paraId="6C35FF7A" w14:textId="77777777" w:rsidR="00C55E6C" w:rsidRPr="003B33FD" w:rsidRDefault="00C55E6C" w:rsidP="00C55E6C">
      <w:pPr>
        <w:jc w:val="both"/>
        <w:rPr>
          <w:rFonts w:ascii="Verdana" w:hAnsi="Verdana" w:cs="Arial"/>
        </w:rPr>
      </w:pPr>
    </w:p>
    <w:p w14:paraId="6E96EE71" w14:textId="77777777" w:rsidR="00C55E6C" w:rsidRDefault="00C55E6C" w:rsidP="00C55E6C">
      <w:pPr>
        <w:jc w:val="both"/>
        <w:rPr>
          <w:rFonts w:ascii="Verdana" w:hAnsi="Verdana" w:cs="Arial"/>
        </w:rPr>
      </w:pPr>
      <w:r w:rsidRPr="003B33FD">
        <w:rPr>
          <w:rFonts w:ascii="Verdana" w:hAnsi="Verdana" w:cs="Arial"/>
        </w:rPr>
        <w:t xml:space="preserve">Lo anterior, en coherencia con el criterio general de la metodología tarifaria según el cual únicamente son trasladables a los usuarios las amortizaciones de activos efectivamente necesarios para la prestación del servicio, cuyo costo económico sea asumido por el prestador y requiera reposición con recursos tarifarios. En el caso de </w:t>
      </w:r>
      <w:r w:rsidRPr="003B33FD">
        <w:rPr>
          <w:rFonts w:ascii="Verdana" w:hAnsi="Verdana" w:cs="Arial"/>
        </w:rPr>
        <w:lastRenderedPageBreak/>
        <w:t>bienes entregados o recibidos en comodato, así como de otros bienes puestos a disposición de terceros, la amortización contable no refleja, en principio, un sacrificio económico que deba ser remunerado vía tarifa, por cuanto el prestador no recuperará su valor mediante la reposición del activo con cargo a los usuarios ni se trata de activos afectos de manera directa y permanente al sistema regulado.</w:t>
      </w:r>
    </w:p>
    <w:p w14:paraId="070EA21C" w14:textId="77777777" w:rsidR="009C7292" w:rsidRPr="003B33FD" w:rsidRDefault="009C7292" w:rsidP="00C55E6C">
      <w:pPr>
        <w:jc w:val="both"/>
        <w:rPr>
          <w:rFonts w:ascii="Verdana" w:hAnsi="Verdana" w:cs="Arial"/>
        </w:rPr>
      </w:pPr>
    </w:p>
    <w:p w14:paraId="783437DA" w14:textId="532EB521" w:rsidR="007C6797" w:rsidRPr="003B33FD" w:rsidRDefault="007C6797" w:rsidP="003A0884">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¿Es procedente incluir de manera expresa los contratos de aprendizaje dentro de</w:t>
      </w:r>
      <w:r w:rsidR="00796295" w:rsidRPr="003B33FD">
        <w:rPr>
          <w:rFonts w:ascii="Verdana" w:hAnsi="Verdana" w:cs="Arial"/>
          <w:b/>
          <w:bCs/>
          <w:i/>
          <w:iCs/>
        </w:rPr>
        <w:t xml:space="preserve"> </w:t>
      </w:r>
      <w:r w:rsidRPr="003B33FD">
        <w:rPr>
          <w:rFonts w:ascii="Verdana" w:hAnsi="Verdana" w:cs="Arial"/>
          <w:b/>
          <w:bCs/>
          <w:i/>
          <w:iCs/>
        </w:rPr>
        <w:t>los criterios generales de los costos de Gestión Social e Inversiones Ambientales?</w:t>
      </w:r>
    </w:p>
    <w:p w14:paraId="139F7819" w14:textId="77777777" w:rsidR="00835CCA" w:rsidRPr="003B33FD" w:rsidRDefault="00835CCA" w:rsidP="007C6797">
      <w:pPr>
        <w:jc w:val="both"/>
        <w:rPr>
          <w:rFonts w:ascii="Verdana" w:hAnsi="Verdana" w:cs="Arial"/>
        </w:rPr>
      </w:pPr>
    </w:p>
    <w:p w14:paraId="3F098168" w14:textId="0CDD5EC1" w:rsidR="00FE5F70" w:rsidRPr="003B33FD" w:rsidRDefault="0035777A" w:rsidP="00FE5F70">
      <w:pPr>
        <w:jc w:val="both"/>
        <w:rPr>
          <w:rFonts w:ascii="Verdana" w:hAnsi="Verdana" w:cs="Arial"/>
          <w:i/>
          <w:iCs/>
        </w:rPr>
      </w:pPr>
      <w:r w:rsidRPr="003B33FD">
        <w:rPr>
          <w:rFonts w:ascii="Verdana" w:hAnsi="Verdana" w:cs="Arial"/>
        </w:rPr>
        <w:t>El contrato de aprendizaje se define en el artículo 81</w:t>
      </w:r>
      <w:r w:rsidR="00AB7660" w:rsidRPr="003B33FD">
        <w:rPr>
          <w:rStyle w:val="Refdenotaalpie"/>
          <w:rFonts w:ascii="Verdana" w:hAnsi="Verdana" w:cs="Arial"/>
        </w:rPr>
        <w:footnoteReference w:id="2"/>
      </w:r>
      <w:r w:rsidRPr="003B33FD">
        <w:rPr>
          <w:rFonts w:ascii="Verdana" w:hAnsi="Verdana" w:cs="Arial"/>
        </w:rPr>
        <w:t xml:space="preserve"> del Código Sustantivo el Trabajo como </w:t>
      </w:r>
      <w:r w:rsidRPr="003B33FD">
        <w:rPr>
          <w:rFonts w:ascii="Verdana" w:hAnsi="Verdana" w:cs="Arial"/>
          <w:i/>
          <w:iCs/>
        </w:rPr>
        <w:t>“</w:t>
      </w:r>
      <w:r w:rsidRPr="003B33FD">
        <w:rPr>
          <w:rFonts w:ascii="Verdana" w:hAnsi="Verdana" w:cs="Arial"/>
          <w:i/>
          <w:iCs/>
        </w:rPr>
        <w:t>un contrato laboral especial y a término fijo, que se rige por las normas sustantivas del Código Sustantivo del Trabajo, mediante la cual una persona natural desarrolla formación teórica práctica en una entidad autorizada a cambio de que una empresa patrocinadora proporcione los medios para adquirir formación profesional metódica y completa requerida en el oficio, actividad, ocupación o profesión y esto le implique desempeñarse dentro del manejo administrativo, operativo, comercial o financiero propios del giro ordinario de las actividades de la empresa,</w:t>
      </w:r>
      <w:r w:rsidRPr="003B33FD">
        <w:rPr>
          <w:rFonts w:ascii="Verdana" w:hAnsi="Verdana" w:cs="Arial"/>
          <w:i/>
          <w:iCs/>
        </w:rPr>
        <w:t xml:space="preserve"> (…)”.</w:t>
      </w:r>
    </w:p>
    <w:p w14:paraId="6AB63C6F" w14:textId="77777777" w:rsidR="00FE5F70" w:rsidRPr="003B33FD" w:rsidRDefault="00FE5F70" w:rsidP="00FE5F70">
      <w:pPr>
        <w:jc w:val="both"/>
        <w:rPr>
          <w:rFonts w:ascii="Verdana" w:hAnsi="Verdana" w:cs="Arial"/>
        </w:rPr>
      </w:pPr>
    </w:p>
    <w:p w14:paraId="36A2A2C6" w14:textId="55EE2DE3" w:rsidR="00835CCA" w:rsidRPr="003B33FD" w:rsidRDefault="00AB7660" w:rsidP="00FE5F70">
      <w:pPr>
        <w:jc w:val="both"/>
        <w:rPr>
          <w:rFonts w:ascii="Verdana" w:hAnsi="Verdana" w:cs="Arial"/>
        </w:rPr>
      </w:pPr>
      <w:r w:rsidRPr="003B33FD">
        <w:rPr>
          <w:rFonts w:ascii="Verdana" w:hAnsi="Verdana" w:cs="Arial"/>
        </w:rPr>
        <w:t>Atendiendo a la definición anterior, será el prestador quien deberá verificar si esta figura de contrato se ajusta a los costos de Gestión Social incorporados en el nuevo marco tarifario.</w:t>
      </w:r>
    </w:p>
    <w:p w14:paraId="0F2DA698" w14:textId="77777777" w:rsidR="00835CCA" w:rsidRPr="003B33FD" w:rsidRDefault="00835CCA" w:rsidP="007C6797">
      <w:pPr>
        <w:jc w:val="both"/>
        <w:rPr>
          <w:rFonts w:ascii="Verdana" w:hAnsi="Verdana" w:cs="Arial"/>
        </w:rPr>
      </w:pPr>
    </w:p>
    <w:p w14:paraId="38DA86F0" w14:textId="76AED523" w:rsidR="007C6797" w:rsidRDefault="007C6797" w:rsidP="006202F1">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¿En qué concepto de los costos operativos deben reportarse los costos asociados a</w:t>
      </w:r>
      <w:r w:rsidR="00796295" w:rsidRPr="003B33FD">
        <w:rPr>
          <w:rFonts w:ascii="Verdana" w:hAnsi="Verdana" w:cs="Arial"/>
          <w:b/>
          <w:bCs/>
          <w:i/>
          <w:iCs/>
        </w:rPr>
        <w:t xml:space="preserve"> </w:t>
      </w:r>
      <w:r w:rsidRPr="003B33FD">
        <w:rPr>
          <w:rFonts w:ascii="Verdana" w:hAnsi="Verdana" w:cs="Arial"/>
          <w:b/>
          <w:bCs/>
          <w:i/>
          <w:iCs/>
        </w:rPr>
        <w:t>líneas de atención al cliente de carácter operativo?</w:t>
      </w:r>
      <w:r w:rsidR="006202F1" w:rsidRPr="003B33FD">
        <w:rPr>
          <w:rFonts w:ascii="Verdana" w:hAnsi="Verdana" w:cs="Arial"/>
          <w:b/>
          <w:bCs/>
          <w:i/>
          <w:iCs/>
        </w:rPr>
        <w:t xml:space="preserve"> </w:t>
      </w:r>
    </w:p>
    <w:p w14:paraId="2A3B3F83" w14:textId="77777777" w:rsidR="009C7292" w:rsidRPr="003B33FD" w:rsidRDefault="009C7292" w:rsidP="009C7292">
      <w:pPr>
        <w:pStyle w:val="Prrafodelista"/>
        <w:ind w:left="851"/>
        <w:jc w:val="both"/>
        <w:rPr>
          <w:rFonts w:ascii="Verdana" w:hAnsi="Verdana" w:cs="Arial"/>
          <w:b/>
          <w:bCs/>
          <w:i/>
          <w:iCs/>
        </w:rPr>
      </w:pPr>
    </w:p>
    <w:p w14:paraId="4004D1FA" w14:textId="77777777" w:rsidR="00FE7613" w:rsidRPr="003B33FD" w:rsidRDefault="00FE7613" w:rsidP="00FE7613">
      <w:pPr>
        <w:pStyle w:val="Prrafodelista"/>
        <w:numPr>
          <w:ilvl w:val="1"/>
          <w:numId w:val="9"/>
        </w:numPr>
        <w:ind w:left="851" w:hanging="567"/>
        <w:jc w:val="both"/>
        <w:rPr>
          <w:rFonts w:ascii="Verdana" w:hAnsi="Verdana" w:cs="Arial"/>
          <w:b/>
          <w:bCs/>
          <w:i/>
          <w:iCs/>
        </w:rPr>
      </w:pPr>
      <w:r w:rsidRPr="003B33FD">
        <w:rPr>
          <w:rFonts w:ascii="Verdana" w:hAnsi="Verdana" w:cs="Arial"/>
          <w:b/>
          <w:bCs/>
          <w:i/>
          <w:iCs/>
        </w:rPr>
        <w:t xml:space="preserve">¿Es correcto entender que determinadas líneas de atención al cliente, cuando guardan relación directa con la operación del servicio, pueden clasificarse como costos operativos y no exclusivamente como costos administrativos? </w:t>
      </w:r>
    </w:p>
    <w:p w14:paraId="13F8326C" w14:textId="77777777" w:rsidR="00FE7613" w:rsidRPr="003B33FD" w:rsidRDefault="00FE7613" w:rsidP="00FE7613">
      <w:pPr>
        <w:jc w:val="both"/>
        <w:rPr>
          <w:rFonts w:ascii="Verdana" w:hAnsi="Verdana" w:cs="Arial"/>
        </w:rPr>
      </w:pPr>
    </w:p>
    <w:p w14:paraId="6EF534F0" w14:textId="112CFFC4" w:rsidR="0030284D" w:rsidRPr="003B33FD" w:rsidRDefault="008E1ABB" w:rsidP="00AB7660">
      <w:pPr>
        <w:jc w:val="both"/>
        <w:rPr>
          <w:rFonts w:ascii="Verdana" w:hAnsi="Verdana" w:cs="Arial"/>
        </w:rPr>
      </w:pPr>
      <w:r w:rsidRPr="003B33FD">
        <w:rPr>
          <w:rFonts w:ascii="Verdana" w:hAnsi="Verdana" w:cs="Arial"/>
        </w:rPr>
        <w:t>Como se indicó en</w:t>
      </w:r>
      <w:r w:rsidR="0030284D" w:rsidRPr="003B33FD">
        <w:rPr>
          <w:rFonts w:ascii="Verdana" w:hAnsi="Verdana" w:cs="Arial"/>
        </w:rPr>
        <w:t xml:space="preserve"> </w:t>
      </w:r>
      <w:r w:rsidR="00AB7660" w:rsidRPr="003B33FD">
        <w:rPr>
          <w:rFonts w:ascii="Verdana" w:hAnsi="Verdana" w:cs="Arial"/>
        </w:rPr>
        <w:t xml:space="preserve">el Documento </w:t>
      </w:r>
      <w:r w:rsidR="00AB7660" w:rsidRPr="003B33FD">
        <w:rPr>
          <w:rFonts w:ascii="Verdana" w:hAnsi="Verdana" w:cs="Arial"/>
        </w:rPr>
        <w:t>de respuestas a las observaciones recibidas en el proceso de participación</w:t>
      </w:r>
      <w:r w:rsidR="00AB7660" w:rsidRPr="003B33FD">
        <w:rPr>
          <w:rFonts w:ascii="Verdana" w:hAnsi="Verdana" w:cs="Arial"/>
        </w:rPr>
        <w:t xml:space="preserve"> </w:t>
      </w:r>
      <w:r w:rsidR="00AB7660" w:rsidRPr="003B33FD">
        <w:rPr>
          <w:rFonts w:ascii="Verdana" w:hAnsi="Verdana" w:cs="Arial"/>
        </w:rPr>
        <w:t>de la Resolución CRA 1032 de 2026</w:t>
      </w:r>
      <w:r w:rsidR="0030284D" w:rsidRPr="003B33FD">
        <w:rPr>
          <w:rFonts w:ascii="Verdana" w:hAnsi="Verdana" w:cs="Arial"/>
        </w:rPr>
        <w:t>, los costos asociados a las líneas de atención al cliente</w:t>
      </w:r>
      <w:r w:rsidR="00C617B5" w:rsidRPr="003B33FD">
        <w:rPr>
          <w:rFonts w:ascii="Verdana" w:hAnsi="Verdana" w:cs="Arial"/>
        </w:rPr>
        <w:t xml:space="preserve"> (como </w:t>
      </w:r>
      <w:proofErr w:type="spellStart"/>
      <w:r w:rsidR="00C617B5" w:rsidRPr="003B33FD">
        <w:rPr>
          <w:rFonts w:ascii="Verdana" w:hAnsi="Verdana" w:cs="Arial"/>
        </w:rPr>
        <w:t>call</w:t>
      </w:r>
      <w:proofErr w:type="spellEnd"/>
      <w:r w:rsidR="00FA046C" w:rsidRPr="003B33FD">
        <w:rPr>
          <w:rFonts w:ascii="Verdana" w:hAnsi="Verdana" w:cs="Arial"/>
        </w:rPr>
        <w:t>-</w:t>
      </w:r>
      <w:r w:rsidR="00C617B5" w:rsidRPr="003B33FD">
        <w:rPr>
          <w:rFonts w:ascii="Verdana" w:hAnsi="Verdana" w:cs="Arial"/>
        </w:rPr>
        <w:t>centers o servicios de soporte comercial) deben clasificarse únicamente como costos administrativos comparables</w:t>
      </w:r>
      <w:r w:rsidR="00FA046C" w:rsidRPr="003B33FD">
        <w:rPr>
          <w:rFonts w:ascii="Verdana" w:hAnsi="Verdana" w:cs="Arial"/>
        </w:rPr>
        <w:t xml:space="preserve">, </w:t>
      </w:r>
      <w:r w:rsidR="0030284D" w:rsidRPr="003B33FD">
        <w:rPr>
          <w:rFonts w:ascii="Verdana" w:hAnsi="Verdana" w:cs="Arial"/>
        </w:rPr>
        <w:t>incluso si el prestador los considera de carácter operativo</w:t>
      </w:r>
      <w:r w:rsidR="00FA046C" w:rsidRPr="003B33FD">
        <w:rPr>
          <w:rFonts w:ascii="Verdana" w:hAnsi="Verdana" w:cs="Arial"/>
        </w:rPr>
        <w:t xml:space="preserve">, </w:t>
      </w:r>
      <w:r w:rsidR="00AB7660" w:rsidRPr="003B33FD">
        <w:rPr>
          <w:rFonts w:ascii="Verdana" w:hAnsi="Verdana" w:cs="Arial"/>
        </w:rPr>
        <w:t xml:space="preserve">en razón a que </w:t>
      </w:r>
      <w:r w:rsidR="00F86A20" w:rsidRPr="003B33FD">
        <w:rPr>
          <w:rFonts w:ascii="Verdana" w:hAnsi="Verdana" w:cs="Arial"/>
        </w:rPr>
        <w:t>e</w:t>
      </w:r>
      <w:r w:rsidR="00656F95" w:rsidRPr="003B33FD">
        <w:rPr>
          <w:rFonts w:ascii="Verdana" w:hAnsi="Verdana" w:cs="Arial"/>
        </w:rPr>
        <w:t xml:space="preserve">stos </w:t>
      </w:r>
      <w:r w:rsidR="00635C26" w:rsidRPr="003B33FD">
        <w:rPr>
          <w:rFonts w:ascii="Verdana" w:hAnsi="Verdana" w:cs="Arial"/>
        </w:rPr>
        <w:t>rubr</w:t>
      </w:r>
      <w:r w:rsidR="00656F95" w:rsidRPr="003B33FD">
        <w:rPr>
          <w:rFonts w:ascii="Verdana" w:hAnsi="Verdana" w:cs="Arial"/>
        </w:rPr>
        <w:t>os forman parte de</w:t>
      </w:r>
      <w:r w:rsidR="00FB7750" w:rsidRPr="003B33FD">
        <w:rPr>
          <w:rFonts w:ascii="Verdana" w:hAnsi="Verdana" w:cs="Arial"/>
        </w:rPr>
        <w:t xml:space="preserve"> </w:t>
      </w:r>
      <w:r w:rsidR="00656F95" w:rsidRPr="003B33FD">
        <w:rPr>
          <w:rFonts w:ascii="Verdana" w:hAnsi="Verdana" w:cs="Arial"/>
        </w:rPr>
        <w:t xml:space="preserve">los denominados "costos fijos de clientela", los cuales, según el artículo 90 </w:t>
      </w:r>
      <w:r w:rsidR="00656F95" w:rsidRPr="003B33FD">
        <w:rPr>
          <w:rFonts w:ascii="Verdana" w:hAnsi="Verdana" w:cs="Arial"/>
        </w:rPr>
        <w:lastRenderedPageBreak/>
        <w:t xml:space="preserve">de la Ley 142 de 1994, comprenden los gastos de administración, facturación, medición y </w:t>
      </w:r>
      <w:r w:rsidR="00CF1633" w:rsidRPr="003B33FD">
        <w:rPr>
          <w:rFonts w:ascii="Verdana" w:hAnsi="Verdana" w:cs="Arial"/>
        </w:rPr>
        <w:t>los demás servicios permanentes necesarios para garantizar la disponibilidad del servicio</w:t>
      </w:r>
      <w:r w:rsidR="00635C26" w:rsidRPr="003B33FD">
        <w:rPr>
          <w:rFonts w:ascii="Verdana" w:hAnsi="Verdana" w:cs="Arial"/>
        </w:rPr>
        <w:t>.</w:t>
      </w:r>
    </w:p>
    <w:p w14:paraId="5AA5CD0E" w14:textId="77777777" w:rsidR="005915AE" w:rsidRPr="003B33FD" w:rsidRDefault="005915AE" w:rsidP="007C6797">
      <w:pPr>
        <w:jc w:val="both"/>
        <w:rPr>
          <w:rFonts w:ascii="Verdana" w:hAnsi="Verdana" w:cs="Arial"/>
        </w:rPr>
      </w:pPr>
    </w:p>
    <w:p w14:paraId="658AC517" w14:textId="7D8570C7" w:rsidR="007D3F06" w:rsidRPr="003B33FD" w:rsidRDefault="007C6797" w:rsidP="0071373D">
      <w:pPr>
        <w:pStyle w:val="Prrafodelista"/>
        <w:numPr>
          <w:ilvl w:val="1"/>
          <w:numId w:val="9"/>
        </w:numPr>
        <w:ind w:left="851" w:hanging="567"/>
        <w:jc w:val="both"/>
        <w:rPr>
          <w:rFonts w:ascii="Verdana" w:hAnsi="Verdana" w:cs="Arial"/>
          <w:b/>
          <w:bCs/>
          <w:i/>
          <w:iCs/>
        </w:rPr>
      </w:pPr>
      <w:r w:rsidRPr="003B33FD">
        <w:rPr>
          <w:rFonts w:ascii="Verdana" w:hAnsi="Verdana" w:cs="Arial"/>
          <w:b/>
          <w:bCs/>
          <w:i/>
          <w:iCs/>
        </w:rPr>
        <w:t>Cuando un costo tenga naturaleza operativa o esté directamente asociado a la</w:t>
      </w:r>
      <w:r w:rsidR="009844E3" w:rsidRPr="003B33FD">
        <w:rPr>
          <w:rFonts w:ascii="Verdana" w:hAnsi="Verdana" w:cs="Arial"/>
          <w:b/>
          <w:bCs/>
          <w:i/>
          <w:iCs/>
        </w:rPr>
        <w:t xml:space="preserve"> </w:t>
      </w:r>
      <w:r w:rsidRPr="003B33FD">
        <w:rPr>
          <w:rFonts w:ascii="Verdana" w:hAnsi="Verdana" w:cs="Arial"/>
          <w:b/>
          <w:bCs/>
          <w:i/>
          <w:iCs/>
        </w:rPr>
        <w:t>prestación del servicio, pero no se encuentre expresamente identificado en los listados de</w:t>
      </w:r>
      <w:r w:rsidR="009844E3" w:rsidRPr="003B33FD">
        <w:rPr>
          <w:rFonts w:ascii="Verdana" w:hAnsi="Verdana" w:cs="Arial"/>
          <w:b/>
          <w:bCs/>
          <w:i/>
          <w:iCs/>
        </w:rPr>
        <w:t xml:space="preserve"> </w:t>
      </w:r>
      <w:r w:rsidRPr="003B33FD">
        <w:rPr>
          <w:rFonts w:ascii="Verdana" w:hAnsi="Verdana" w:cs="Arial"/>
          <w:b/>
          <w:bCs/>
          <w:i/>
          <w:iCs/>
        </w:rPr>
        <w:t>conceptos operativos definidos por la Comisión, ¿cuál debe ser el criterio metodológico</w:t>
      </w:r>
      <w:r w:rsidR="009844E3" w:rsidRPr="003B33FD">
        <w:rPr>
          <w:rFonts w:ascii="Verdana" w:hAnsi="Verdana" w:cs="Arial"/>
          <w:b/>
          <w:bCs/>
          <w:i/>
          <w:iCs/>
        </w:rPr>
        <w:t xml:space="preserve"> </w:t>
      </w:r>
      <w:r w:rsidRPr="003B33FD">
        <w:rPr>
          <w:rFonts w:ascii="Verdana" w:hAnsi="Verdana" w:cs="Arial"/>
          <w:b/>
          <w:bCs/>
          <w:i/>
          <w:iCs/>
        </w:rPr>
        <w:t>para su clasificación y reconocimiento tarifario?</w:t>
      </w:r>
      <w:r w:rsidR="0071373D" w:rsidRPr="003B33FD">
        <w:rPr>
          <w:rFonts w:ascii="Verdana" w:hAnsi="Verdana" w:cs="Arial"/>
          <w:b/>
          <w:bCs/>
          <w:i/>
          <w:iCs/>
        </w:rPr>
        <w:t xml:space="preserve"> </w:t>
      </w:r>
    </w:p>
    <w:p w14:paraId="5DFEC4C2" w14:textId="77777777" w:rsidR="00F920AD" w:rsidRPr="003B33FD" w:rsidRDefault="00F920AD" w:rsidP="007C6797">
      <w:pPr>
        <w:jc w:val="both"/>
        <w:rPr>
          <w:rFonts w:ascii="Verdana" w:hAnsi="Verdana" w:cs="Arial"/>
        </w:rPr>
      </w:pPr>
    </w:p>
    <w:p w14:paraId="08B6FCFC" w14:textId="585997E8" w:rsidR="00C61F56" w:rsidRPr="003B33FD" w:rsidRDefault="00C61F56" w:rsidP="00C61F56">
      <w:pPr>
        <w:jc w:val="both"/>
        <w:rPr>
          <w:rFonts w:ascii="Verdana" w:hAnsi="Verdana" w:cs="Arial"/>
        </w:rPr>
      </w:pPr>
      <w:r w:rsidRPr="003B33FD">
        <w:rPr>
          <w:rFonts w:ascii="Verdana" w:hAnsi="Verdana" w:cs="Arial"/>
        </w:rPr>
        <w:t xml:space="preserve">El </w:t>
      </w:r>
      <w:r w:rsidR="001453CC" w:rsidRPr="003B33FD">
        <w:rPr>
          <w:rFonts w:ascii="Verdana" w:hAnsi="Verdana" w:cs="Arial"/>
        </w:rPr>
        <w:t>Nuevo Marco Tarifario</w:t>
      </w:r>
      <w:r w:rsidRPr="003B33FD">
        <w:rPr>
          <w:rFonts w:ascii="Verdana" w:hAnsi="Verdana" w:cs="Arial"/>
        </w:rPr>
        <w:t xml:space="preserve"> exige una clasificación precisa y estricta de los costos, conforme a los rubros definidos de manera taxativa en la propuesta normativa, evitando duplicidades y asignaciones inconsistentes. Cada persona prestadora es responsable de identificar la naturaleza real de cada erogación antes de asignarla a un costo medio y ubicarla exclusivamente en el costo que corresponda, administrativo, operativo </w:t>
      </w:r>
      <w:r w:rsidR="001453CC" w:rsidRPr="003B33FD">
        <w:rPr>
          <w:rFonts w:ascii="Verdana" w:hAnsi="Verdana" w:cs="Arial"/>
        </w:rPr>
        <w:t xml:space="preserve">comparable </w:t>
      </w:r>
      <w:r w:rsidRPr="003B33FD">
        <w:rPr>
          <w:rFonts w:ascii="Verdana" w:hAnsi="Verdana" w:cs="Arial"/>
        </w:rPr>
        <w:t>o particular, según la estructura regulatoria. Si una actividad es directamente operativa, debe analizar su ubicación exclusivamente en los rubros operativos definidos dentro de la resolución.</w:t>
      </w:r>
    </w:p>
    <w:p w14:paraId="12E3A735" w14:textId="77777777" w:rsidR="00775D27" w:rsidRPr="003B33FD" w:rsidRDefault="00775D27" w:rsidP="00C61F56">
      <w:pPr>
        <w:jc w:val="both"/>
        <w:rPr>
          <w:rFonts w:ascii="Verdana" w:hAnsi="Verdana" w:cs="Arial"/>
        </w:rPr>
      </w:pPr>
    </w:p>
    <w:p w14:paraId="05BE1FEF" w14:textId="4C3B4F43" w:rsidR="00775D27" w:rsidRPr="003B33FD" w:rsidRDefault="00775D27" w:rsidP="00C61F56">
      <w:pPr>
        <w:jc w:val="both"/>
        <w:rPr>
          <w:rFonts w:ascii="Verdana" w:hAnsi="Verdana" w:cs="Arial"/>
        </w:rPr>
      </w:pPr>
      <w:r w:rsidRPr="003B33FD">
        <w:rPr>
          <w:rFonts w:ascii="Verdana" w:hAnsi="Verdana" w:cs="Arial"/>
        </w:rPr>
        <w:t>Para efectos de dicha clasificación, en caso de que un costo sea necesario para la prestación del servicio, pero no se encuentre identificado contablemente con la misma denominación de los criterios regulatorios, este podrá ser asociado al componente tarifario correspondiente en función de su naturaleza, finalidad y relación directa con la prestación del servicio. Esta correcta identificación y clasificación de los costos es fundamental para asegurar que las tarifas reflejen costos eficientes, verificables y coherentes con la prestación del servicio, en beneficio de los usuarios y en concordancia con los principios del régimen tarifario.</w:t>
      </w:r>
    </w:p>
    <w:p w14:paraId="41D70572" w14:textId="77777777" w:rsidR="0071373D" w:rsidRPr="003B33FD" w:rsidRDefault="0071373D" w:rsidP="004E4EDA">
      <w:pPr>
        <w:jc w:val="both"/>
        <w:rPr>
          <w:rFonts w:ascii="Verdana" w:hAnsi="Verdana" w:cs="Arial"/>
        </w:rPr>
      </w:pPr>
    </w:p>
    <w:p w14:paraId="643B55D5" w14:textId="4DBC5A82" w:rsidR="00FF25DE" w:rsidRPr="003B33FD" w:rsidRDefault="00FF25DE" w:rsidP="00FF25DE">
      <w:pPr>
        <w:pStyle w:val="Prrafodelista"/>
        <w:numPr>
          <w:ilvl w:val="0"/>
          <w:numId w:val="9"/>
        </w:numPr>
        <w:ind w:left="567" w:hanging="283"/>
        <w:jc w:val="both"/>
        <w:rPr>
          <w:rFonts w:ascii="Verdana" w:hAnsi="Verdana" w:cs="Arial"/>
          <w:b/>
          <w:bCs/>
          <w:i/>
          <w:iCs/>
        </w:rPr>
      </w:pPr>
      <w:r w:rsidRPr="003B33FD">
        <w:rPr>
          <w:rFonts w:ascii="Verdana" w:hAnsi="Verdana" w:cs="Arial"/>
          <w:b/>
          <w:bCs/>
          <w:i/>
          <w:iCs/>
        </w:rPr>
        <w:t>Porcentaje ambiental de los gravámenes a la propiedad inmueble</w:t>
      </w:r>
      <w:r w:rsidR="00010E7E" w:rsidRPr="003B33FD">
        <w:rPr>
          <w:rFonts w:ascii="Verdana" w:hAnsi="Verdana" w:cs="Arial"/>
          <w:b/>
          <w:bCs/>
          <w:i/>
          <w:iCs/>
        </w:rPr>
        <w:t xml:space="preserve"> </w:t>
      </w:r>
    </w:p>
    <w:p w14:paraId="4559615B" w14:textId="77777777" w:rsidR="00FF25DE" w:rsidRPr="003B33FD" w:rsidRDefault="00FF25DE" w:rsidP="00FF25DE">
      <w:pPr>
        <w:jc w:val="both"/>
        <w:rPr>
          <w:rFonts w:ascii="Verdana" w:hAnsi="Verdana" w:cs="Arial"/>
        </w:rPr>
      </w:pPr>
    </w:p>
    <w:p w14:paraId="7545C3EF" w14:textId="59A70EAF" w:rsidR="00B77C2E" w:rsidRDefault="00FF25DE" w:rsidP="00E73046">
      <w:pPr>
        <w:pStyle w:val="Prrafodelista"/>
        <w:numPr>
          <w:ilvl w:val="1"/>
          <w:numId w:val="9"/>
        </w:numPr>
        <w:ind w:left="851" w:hanging="567"/>
        <w:jc w:val="both"/>
        <w:rPr>
          <w:rFonts w:ascii="Verdana" w:hAnsi="Verdana" w:cs="Arial"/>
          <w:b/>
          <w:bCs/>
          <w:i/>
          <w:iCs/>
        </w:rPr>
      </w:pPr>
      <w:r w:rsidRPr="003B33FD">
        <w:rPr>
          <w:rFonts w:ascii="Verdana" w:hAnsi="Verdana" w:cs="Arial"/>
          <w:b/>
          <w:bCs/>
          <w:i/>
          <w:iCs/>
        </w:rPr>
        <w:t>Cuando el porcentaje ambiental de los gravámenes a la propiedad inmueble sea</w:t>
      </w:r>
      <w:r w:rsidR="00B77C2E" w:rsidRPr="003B33FD">
        <w:rPr>
          <w:rFonts w:ascii="Verdana" w:hAnsi="Verdana" w:cs="Arial"/>
          <w:b/>
          <w:bCs/>
          <w:i/>
          <w:iCs/>
        </w:rPr>
        <w:t xml:space="preserve"> </w:t>
      </w:r>
      <w:r w:rsidRPr="003B33FD">
        <w:rPr>
          <w:rFonts w:ascii="Verdana" w:hAnsi="Verdana" w:cs="Arial"/>
          <w:b/>
          <w:bCs/>
          <w:i/>
          <w:iCs/>
        </w:rPr>
        <w:t>liquidado, facturado y cobrado de forma separada o discriminada respecto del impuesto</w:t>
      </w:r>
      <w:r w:rsidR="00D75F52" w:rsidRPr="003B33FD">
        <w:rPr>
          <w:rFonts w:ascii="Verdana" w:hAnsi="Verdana" w:cs="Arial"/>
          <w:b/>
          <w:bCs/>
          <w:i/>
          <w:iCs/>
        </w:rPr>
        <w:t xml:space="preserve"> </w:t>
      </w:r>
      <w:r w:rsidR="00B77C2E" w:rsidRPr="003B33FD">
        <w:rPr>
          <w:rFonts w:ascii="Verdana" w:hAnsi="Verdana" w:cs="Arial"/>
          <w:b/>
          <w:bCs/>
          <w:i/>
          <w:iCs/>
        </w:rPr>
        <w:t>predial, por ejemplo, bajo la modalidad de sobretasa ambiental, ¿es correcto entender que</w:t>
      </w:r>
      <w:r w:rsidR="00D75F52" w:rsidRPr="003B33FD">
        <w:rPr>
          <w:rFonts w:ascii="Verdana" w:hAnsi="Verdana" w:cs="Arial"/>
          <w:b/>
          <w:bCs/>
          <w:i/>
          <w:iCs/>
        </w:rPr>
        <w:t xml:space="preserve"> </w:t>
      </w:r>
      <w:r w:rsidR="00B77C2E" w:rsidRPr="003B33FD">
        <w:rPr>
          <w:rFonts w:ascii="Verdana" w:hAnsi="Verdana" w:cs="Arial"/>
          <w:b/>
          <w:bCs/>
          <w:i/>
          <w:iCs/>
        </w:rPr>
        <w:t>dicho valor puede ser incluido como costo reconocido en la tarifa de los servicios públicos</w:t>
      </w:r>
      <w:r w:rsidR="00D75F52" w:rsidRPr="003B33FD">
        <w:rPr>
          <w:rFonts w:ascii="Verdana" w:hAnsi="Verdana" w:cs="Arial"/>
          <w:b/>
          <w:bCs/>
          <w:i/>
          <w:iCs/>
        </w:rPr>
        <w:t xml:space="preserve"> </w:t>
      </w:r>
      <w:r w:rsidR="00B77C2E" w:rsidRPr="003B33FD">
        <w:rPr>
          <w:rFonts w:ascii="Verdana" w:hAnsi="Verdana" w:cs="Arial"/>
          <w:b/>
          <w:bCs/>
          <w:i/>
          <w:iCs/>
        </w:rPr>
        <w:t>domiciliarios de acueducto y/o alcantarillado, siempre que corresponda a inmuebles</w:t>
      </w:r>
      <w:r w:rsidR="00D75F52" w:rsidRPr="003B33FD">
        <w:rPr>
          <w:rFonts w:ascii="Verdana" w:hAnsi="Verdana" w:cs="Arial"/>
          <w:b/>
          <w:bCs/>
          <w:i/>
          <w:iCs/>
        </w:rPr>
        <w:t xml:space="preserve"> </w:t>
      </w:r>
      <w:r w:rsidR="00B77C2E" w:rsidRPr="003B33FD">
        <w:rPr>
          <w:rFonts w:ascii="Verdana" w:hAnsi="Verdana" w:cs="Arial"/>
          <w:b/>
          <w:bCs/>
          <w:i/>
          <w:iCs/>
        </w:rPr>
        <w:t>afectos a la prestación del servicio, sea un costo efectivamente pagado por el prestador y</w:t>
      </w:r>
      <w:r w:rsidR="00D75F52" w:rsidRPr="003B33FD">
        <w:rPr>
          <w:rFonts w:ascii="Verdana" w:hAnsi="Verdana" w:cs="Arial"/>
          <w:b/>
          <w:bCs/>
          <w:i/>
          <w:iCs/>
        </w:rPr>
        <w:t xml:space="preserve"> </w:t>
      </w:r>
      <w:r w:rsidR="00B77C2E" w:rsidRPr="003B33FD">
        <w:rPr>
          <w:rFonts w:ascii="Verdana" w:hAnsi="Verdana" w:cs="Arial"/>
          <w:b/>
          <w:bCs/>
          <w:i/>
          <w:iCs/>
        </w:rPr>
        <w:t xml:space="preserve">no se </w:t>
      </w:r>
      <w:r w:rsidR="00B77C2E" w:rsidRPr="003B33FD">
        <w:rPr>
          <w:rFonts w:ascii="Verdana" w:hAnsi="Verdana" w:cs="Arial"/>
          <w:b/>
          <w:bCs/>
          <w:i/>
          <w:iCs/>
        </w:rPr>
        <w:lastRenderedPageBreak/>
        <w:t>encuentre incluido dentro del valor del impuesto predial reconocido tarifariamente?</w:t>
      </w:r>
      <w:r w:rsidR="00E73046" w:rsidRPr="003B33FD">
        <w:rPr>
          <w:rFonts w:ascii="Verdana" w:hAnsi="Verdana" w:cs="Arial"/>
          <w:b/>
          <w:bCs/>
          <w:i/>
          <w:iCs/>
        </w:rPr>
        <w:t xml:space="preserve"> </w:t>
      </w:r>
    </w:p>
    <w:p w14:paraId="2A59AB81" w14:textId="77777777" w:rsidR="009C7292" w:rsidRPr="003B33FD" w:rsidRDefault="009C7292" w:rsidP="009C7292">
      <w:pPr>
        <w:pStyle w:val="Prrafodelista"/>
        <w:ind w:left="851"/>
        <w:jc w:val="both"/>
        <w:rPr>
          <w:rFonts w:ascii="Verdana" w:hAnsi="Verdana" w:cs="Arial"/>
          <w:b/>
          <w:bCs/>
          <w:i/>
          <w:iCs/>
        </w:rPr>
      </w:pPr>
    </w:p>
    <w:p w14:paraId="032E2C3C" w14:textId="06175E73" w:rsidR="00B77C2E" w:rsidRPr="003B33FD" w:rsidRDefault="00B77C2E" w:rsidP="00E73046">
      <w:pPr>
        <w:pStyle w:val="Prrafodelista"/>
        <w:numPr>
          <w:ilvl w:val="1"/>
          <w:numId w:val="9"/>
        </w:numPr>
        <w:ind w:left="851" w:hanging="567"/>
        <w:jc w:val="both"/>
        <w:rPr>
          <w:rFonts w:ascii="Verdana" w:hAnsi="Verdana" w:cs="Arial"/>
          <w:b/>
          <w:bCs/>
          <w:i/>
          <w:iCs/>
        </w:rPr>
      </w:pPr>
      <w:r w:rsidRPr="003B33FD">
        <w:rPr>
          <w:rFonts w:ascii="Verdana" w:hAnsi="Verdana" w:cs="Arial"/>
          <w:b/>
          <w:bCs/>
          <w:i/>
          <w:iCs/>
        </w:rPr>
        <w:t>Cuando el porcentaje ambiental de los gravámenes a la propiedad inmueble sea</w:t>
      </w:r>
      <w:r w:rsidR="00D75F52" w:rsidRPr="003B33FD">
        <w:rPr>
          <w:rFonts w:ascii="Verdana" w:hAnsi="Verdana" w:cs="Arial"/>
          <w:b/>
          <w:bCs/>
          <w:i/>
          <w:iCs/>
        </w:rPr>
        <w:t xml:space="preserve"> </w:t>
      </w:r>
      <w:r w:rsidRPr="003B33FD">
        <w:rPr>
          <w:rFonts w:ascii="Verdana" w:hAnsi="Verdana" w:cs="Arial"/>
          <w:b/>
          <w:bCs/>
          <w:i/>
          <w:iCs/>
        </w:rPr>
        <w:t>adoptado como porcentaje del total del recaudo del impuesto predial y, por tanto, se</w:t>
      </w:r>
      <w:r w:rsidR="00D75F52" w:rsidRPr="003B33FD">
        <w:rPr>
          <w:rFonts w:ascii="Verdana" w:hAnsi="Verdana" w:cs="Arial"/>
          <w:b/>
          <w:bCs/>
          <w:i/>
          <w:iCs/>
        </w:rPr>
        <w:t xml:space="preserve"> </w:t>
      </w:r>
      <w:r w:rsidRPr="003B33FD">
        <w:rPr>
          <w:rFonts w:ascii="Verdana" w:hAnsi="Verdana" w:cs="Arial"/>
          <w:b/>
          <w:bCs/>
          <w:i/>
          <w:iCs/>
        </w:rPr>
        <w:t>encuentre integrado en el valor del impuesto predial liquidado al contribuyente, ¿es</w:t>
      </w:r>
      <w:r w:rsidR="00D75F52" w:rsidRPr="003B33FD">
        <w:rPr>
          <w:rFonts w:ascii="Verdana" w:hAnsi="Verdana" w:cs="Arial"/>
          <w:b/>
          <w:bCs/>
          <w:i/>
          <w:iCs/>
        </w:rPr>
        <w:t xml:space="preserve"> </w:t>
      </w:r>
      <w:r w:rsidRPr="003B33FD">
        <w:rPr>
          <w:rFonts w:ascii="Verdana" w:hAnsi="Verdana" w:cs="Arial"/>
          <w:b/>
          <w:bCs/>
          <w:i/>
          <w:iCs/>
        </w:rPr>
        <w:t>correcto entender que no sería procedente efectuar una exclusión adicional de dicho</w:t>
      </w:r>
      <w:r w:rsidR="00D75F52" w:rsidRPr="003B33FD">
        <w:rPr>
          <w:rFonts w:ascii="Verdana" w:hAnsi="Verdana" w:cs="Arial"/>
          <w:b/>
          <w:bCs/>
          <w:i/>
          <w:iCs/>
        </w:rPr>
        <w:t xml:space="preserve"> </w:t>
      </w:r>
      <w:r w:rsidRPr="003B33FD">
        <w:rPr>
          <w:rFonts w:ascii="Verdana" w:hAnsi="Verdana" w:cs="Arial"/>
          <w:b/>
          <w:bCs/>
          <w:i/>
          <w:iCs/>
        </w:rPr>
        <w:t>porcentaje ambiental, en la medida en que el costo reconocido tarifariamente</w:t>
      </w:r>
      <w:r w:rsidR="00D75F52" w:rsidRPr="003B33FD">
        <w:rPr>
          <w:rFonts w:ascii="Verdana" w:hAnsi="Verdana" w:cs="Arial"/>
          <w:b/>
          <w:bCs/>
          <w:i/>
          <w:iCs/>
        </w:rPr>
        <w:t xml:space="preserve"> </w:t>
      </w:r>
      <w:r w:rsidRPr="003B33FD">
        <w:rPr>
          <w:rFonts w:ascii="Verdana" w:hAnsi="Verdana" w:cs="Arial"/>
          <w:b/>
          <w:bCs/>
          <w:i/>
          <w:iCs/>
        </w:rPr>
        <w:t>correspondería al impuesto predial efectivamente causado y pagado por el prestador, sin</w:t>
      </w:r>
      <w:r w:rsidR="00D75F52" w:rsidRPr="003B33FD">
        <w:rPr>
          <w:rFonts w:ascii="Verdana" w:hAnsi="Verdana" w:cs="Arial"/>
          <w:b/>
          <w:bCs/>
          <w:i/>
          <w:iCs/>
        </w:rPr>
        <w:t xml:space="preserve"> </w:t>
      </w:r>
      <w:r w:rsidRPr="003B33FD">
        <w:rPr>
          <w:rFonts w:ascii="Verdana" w:hAnsi="Verdana" w:cs="Arial"/>
          <w:b/>
          <w:bCs/>
          <w:i/>
          <w:iCs/>
        </w:rPr>
        <w:t>desagregar un componente ambiental independiente?</w:t>
      </w:r>
      <w:r w:rsidR="00035E00" w:rsidRPr="003B33FD">
        <w:rPr>
          <w:rFonts w:ascii="Verdana" w:hAnsi="Verdana" w:cs="Arial"/>
          <w:b/>
          <w:bCs/>
          <w:i/>
          <w:iCs/>
        </w:rPr>
        <w:t xml:space="preserve"> </w:t>
      </w:r>
    </w:p>
    <w:p w14:paraId="5ED9B316" w14:textId="77777777" w:rsidR="00D75F52" w:rsidRPr="003B33FD" w:rsidRDefault="00D75F52" w:rsidP="00B77C2E">
      <w:pPr>
        <w:jc w:val="both"/>
        <w:rPr>
          <w:rFonts w:ascii="Verdana" w:hAnsi="Verdana" w:cs="Arial"/>
        </w:rPr>
      </w:pPr>
    </w:p>
    <w:p w14:paraId="3E6A1FBB" w14:textId="7E914C43" w:rsidR="00A70BD6" w:rsidRPr="003B33FD" w:rsidRDefault="00C36E95" w:rsidP="00A70BD6">
      <w:pPr>
        <w:jc w:val="both"/>
        <w:rPr>
          <w:rFonts w:ascii="Verdana" w:hAnsi="Verdana" w:cs="Arial"/>
        </w:rPr>
      </w:pPr>
      <w:r w:rsidRPr="003B33FD">
        <w:rPr>
          <w:rFonts w:ascii="Verdana" w:hAnsi="Verdana" w:cs="Arial"/>
        </w:rPr>
        <w:t>L</w:t>
      </w:r>
      <w:r w:rsidR="00A70BD6" w:rsidRPr="003B33FD">
        <w:rPr>
          <w:rFonts w:ascii="Verdana" w:hAnsi="Verdana" w:cs="Arial"/>
        </w:rPr>
        <w:t>os porcentajes o sobretasas de carácter ambiental asociados a la propiedad inmueble se liquidan, facturan y cobran como parte del impuesto predial, de manera que forman un único gravamen sobre el bien raíz y no se configuran como un tributo autónomo e independiente frente a dicho impuesto. En consecuencia, cuando el impuesto predial correspondiente a inmuebles afectos a la prestación de los servicios públicos domiciliarios de acueducto y/o alcantarillado ha sido reconocido tarifariamente de conformidad con la metodología vigente, el costo asociado a la sobretasa ambiental ya se encuentra incorporado dentro de dicho valor.</w:t>
      </w:r>
    </w:p>
    <w:p w14:paraId="085028B2" w14:textId="77777777" w:rsidR="00A70BD6" w:rsidRPr="003B33FD" w:rsidRDefault="00A70BD6" w:rsidP="00A70BD6">
      <w:pPr>
        <w:jc w:val="both"/>
        <w:rPr>
          <w:rFonts w:ascii="Verdana" w:hAnsi="Verdana" w:cs="Arial"/>
        </w:rPr>
      </w:pPr>
    </w:p>
    <w:p w14:paraId="0635ED63" w14:textId="3BF9FD18" w:rsidR="00A70BD6" w:rsidRPr="003B33FD" w:rsidRDefault="00A70BD6" w:rsidP="00A70BD6">
      <w:pPr>
        <w:jc w:val="both"/>
        <w:rPr>
          <w:rFonts w:ascii="Verdana" w:hAnsi="Verdana" w:cs="Arial"/>
        </w:rPr>
      </w:pPr>
      <w:r w:rsidRPr="003B33FD">
        <w:rPr>
          <w:rFonts w:ascii="Verdana" w:hAnsi="Verdana" w:cs="Arial"/>
        </w:rPr>
        <w:t>Por lo anterior, no resulta procedente reconocer en la tarifa un “costo ambiental” adicional, separado del impuesto predial, aun cuando en la factura tributaria se presente de forma discriminada una sobretasa ambiental sobre el mismo inmueble afecto a la prestación del servicio. Incluirlo nuevamente como costo independiente implicaría una doble contabilización del mismo hecho generador y conduciría a remunerar dos veces el mismo gravamen.</w:t>
      </w:r>
    </w:p>
    <w:p w14:paraId="5DE0B5B2" w14:textId="77777777" w:rsidR="00A70BD6" w:rsidRPr="003B33FD" w:rsidRDefault="00A70BD6" w:rsidP="00A70BD6">
      <w:pPr>
        <w:jc w:val="both"/>
        <w:rPr>
          <w:rFonts w:ascii="Verdana" w:hAnsi="Verdana" w:cs="Arial"/>
        </w:rPr>
      </w:pPr>
    </w:p>
    <w:p w14:paraId="5ED0CA6C" w14:textId="10A7597D" w:rsidR="008351E5" w:rsidRPr="003B33FD" w:rsidRDefault="00A70BD6" w:rsidP="00A70BD6">
      <w:pPr>
        <w:jc w:val="both"/>
        <w:rPr>
          <w:rFonts w:ascii="Verdana" w:hAnsi="Verdana" w:cs="Arial"/>
        </w:rPr>
      </w:pPr>
      <w:r w:rsidRPr="003B33FD">
        <w:rPr>
          <w:rFonts w:ascii="Verdana" w:hAnsi="Verdana" w:cs="Arial"/>
        </w:rPr>
        <w:t>En este sentido, el costo a trasladar a tarifa por concepto de gravámenes a la propiedad inmueble debe corresponder al impuesto predial efectivamente causado y pagado por el prestador sobre los inmuebles afectos a la prestación del servicio, sin desagregar ni adicionar un componente ambiental independiente, dado que este ya hace parte del impuesto predial reconocido en la metodología.</w:t>
      </w:r>
    </w:p>
    <w:p w14:paraId="293833EB" w14:textId="77777777" w:rsidR="00A70BD6" w:rsidRPr="003B33FD" w:rsidRDefault="00A70BD6" w:rsidP="00A70BD6">
      <w:pPr>
        <w:jc w:val="both"/>
        <w:rPr>
          <w:rFonts w:ascii="Verdana" w:hAnsi="Verdana" w:cs="Arial"/>
        </w:rPr>
      </w:pPr>
    </w:p>
    <w:p w14:paraId="1DD85DA1" w14:textId="46B5304B" w:rsidR="00FF25DE" w:rsidRPr="003B33FD" w:rsidRDefault="00B77C2E" w:rsidP="00427971">
      <w:pPr>
        <w:pStyle w:val="Prrafodelista"/>
        <w:numPr>
          <w:ilvl w:val="1"/>
          <w:numId w:val="9"/>
        </w:numPr>
        <w:ind w:left="851" w:hanging="567"/>
        <w:jc w:val="both"/>
        <w:rPr>
          <w:rFonts w:ascii="Verdana" w:hAnsi="Verdana" w:cs="Arial"/>
          <w:b/>
          <w:bCs/>
          <w:i/>
          <w:iCs/>
        </w:rPr>
      </w:pPr>
      <w:r w:rsidRPr="003B33FD">
        <w:rPr>
          <w:rFonts w:ascii="Verdana" w:hAnsi="Verdana" w:cs="Arial"/>
          <w:b/>
          <w:bCs/>
          <w:i/>
          <w:iCs/>
        </w:rPr>
        <w:t>En línea con lo anterior, ¿puede entenderse que la exclusión prevista para el</w:t>
      </w:r>
      <w:r w:rsidR="00D75F52" w:rsidRPr="003B33FD">
        <w:rPr>
          <w:rFonts w:ascii="Verdana" w:hAnsi="Verdana" w:cs="Arial"/>
          <w:b/>
          <w:bCs/>
          <w:i/>
          <w:iCs/>
        </w:rPr>
        <w:t xml:space="preserve"> </w:t>
      </w:r>
      <w:r w:rsidRPr="003B33FD">
        <w:rPr>
          <w:rFonts w:ascii="Verdana" w:hAnsi="Verdana" w:cs="Arial"/>
          <w:b/>
          <w:bCs/>
          <w:i/>
          <w:iCs/>
        </w:rPr>
        <w:t>porcentaje ambiental de los gravámenes a la propiedad inmueble tiene como finalidad</w:t>
      </w:r>
      <w:r w:rsidR="00D75F52" w:rsidRPr="003B33FD">
        <w:rPr>
          <w:rFonts w:ascii="Verdana" w:hAnsi="Verdana" w:cs="Arial"/>
          <w:b/>
          <w:bCs/>
          <w:i/>
          <w:iCs/>
        </w:rPr>
        <w:t xml:space="preserve"> </w:t>
      </w:r>
      <w:r w:rsidRPr="003B33FD">
        <w:rPr>
          <w:rFonts w:ascii="Verdana" w:hAnsi="Verdana" w:cs="Arial"/>
          <w:b/>
          <w:bCs/>
          <w:i/>
          <w:iCs/>
        </w:rPr>
        <w:t>evitar un doble reconocimiento tarifario, pero no impedir el reconocimiento de costos</w:t>
      </w:r>
      <w:r w:rsidR="00D75F52" w:rsidRPr="003B33FD">
        <w:rPr>
          <w:rFonts w:ascii="Verdana" w:hAnsi="Verdana" w:cs="Arial"/>
          <w:b/>
          <w:bCs/>
          <w:i/>
          <w:iCs/>
        </w:rPr>
        <w:t xml:space="preserve"> </w:t>
      </w:r>
      <w:r w:rsidRPr="003B33FD">
        <w:rPr>
          <w:rFonts w:ascii="Verdana" w:hAnsi="Verdana" w:cs="Arial"/>
          <w:b/>
          <w:bCs/>
          <w:i/>
          <w:iCs/>
        </w:rPr>
        <w:lastRenderedPageBreak/>
        <w:t>obligatorios, eficientes y efectivamente incurridos por el prestador cuando estos no se</w:t>
      </w:r>
      <w:r w:rsidR="00D75F52" w:rsidRPr="003B33FD">
        <w:rPr>
          <w:rFonts w:ascii="Verdana" w:hAnsi="Verdana" w:cs="Arial"/>
          <w:b/>
          <w:bCs/>
          <w:i/>
          <w:iCs/>
        </w:rPr>
        <w:t xml:space="preserve"> </w:t>
      </w:r>
      <w:r w:rsidRPr="003B33FD">
        <w:rPr>
          <w:rFonts w:ascii="Verdana" w:hAnsi="Verdana" w:cs="Arial"/>
          <w:b/>
          <w:bCs/>
          <w:i/>
          <w:iCs/>
        </w:rPr>
        <w:t>encuentren incorporados dentro del impuesto predial reconocido?</w:t>
      </w:r>
      <w:r w:rsidR="00427971" w:rsidRPr="003B33FD">
        <w:rPr>
          <w:rFonts w:ascii="Verdana" w:hAnsi="Verdana" w:cs="Arial"/>
          <w:b/>
          <w:bCs/>
          <w:i/>
          <w:iCs/>
        </w:rPr>
        <w:t xml:space="preserve"> </w:t>
      </w:r>
    </w:p>
    <w:p w14:paraId="181AD4D2" w14:textId="77777777" w:rsidR="00B77C2E" w:rsidRPr="003B33FD" w:rsidRDefault="00B77C2E" w:rsidP="00FF25DE">
      <w:pPr>
        <w:jc w:val="both"/>
        <w:rPr>
          <w:rFonts w:ascii="Verdana" w:hAnsi="Verdana" w:cs="Arial"/>
        </w:rPr>
      </w:pPr>
    </w:p>
    <w:p w14:paraId="69A9219A" w14:textId="1BA820CD" w:rsidR="006A7E95" w:rsidRPr="003B33FD" w:rsidRDefault="006A7E95" w:rsidP="006A7E95">
      <w:pPr>
        <w:jc w:val="both"/>
        <w:rPr>
          <w:rFonts w:ascii="Verdana" w:hAnsi="Verdana" w:cs="Arial"/>
        </w:rPr>
      </w:pPr>
      <w:r w:rsidRPr="003B33FD">
        <w:rPr>
          <w:rFonts w:ascii="Verdana" w:hAnsi="Verdana" w:cs="Arial"/>
        </w:rPr>
        <w:t xml:space="preserve">En </w:t>
      </w:r>
      <w:r w:rsidR="008730D3" w:rsidRPr="003B33FD">
        <w:rPr>
          <w:rFonts w:ascii="Verdana" w:hAnsi="Verdana" w:cs="Arial"/>
        </w:rPr>
        <w:t>línea con la respuesta a la consulta anterior</w:t>
      </w:r>
      <w:r w:rsidRPr="003B33FD">
        <w:rPr>
          <w:rFonts w:ascii="Verdana" w:hAnsi="Verdana" w:cs="Arial"/>
        </w:rPr>
        <w:t>, es correcto entender que la exclusión prevista para el porcentaje ambiental de los gravámenes a la propiedad inmueble tiene como finalidad evitar un doble reconocimiento tarifario del mismo hecho generador, cuando dicho porcentaje ya se encuentra integrado en el valor del impuesto predial liquidado y pagado que se reconoce en la tarifa sobre los inmuebles afectos a la prestación del servicio.</w:t>
      </w:r>
    </w:p>
    <w:p w14:paraId="7DEFDB94" w14:textId="77777777" w:rsidR="00FF25DE" w:rsidRPr="003B33FD" w:rsidRDefault="00FF25DE" w:rsidP="00FF25DE">
      <w:pPr>
        <w:jc w:val="both"/>
        <w:rPr>
          <w:rFonts w:ascii="Verdana" w:hAnsi="Verdana" w:cs="Arial"/>
        </w:rPr>
      </w:pPr>
    </w:p>
    <w:p w14:paraId="3590D542" w14:textId="7F5B0312" w:rsidR="00F95E71" w:rsidRPr="003B33FD" w:rsidRDefault="00F95E71" w:rsidP="00F95E71">
      <w:pPr>
        <w:pStyle w:val="Prrafodelista"/>
        <w:numPr>
          <w:ilvl w:val="0"/>
          <w:numId w:val="9"/>
        </w:numPr>
        <w:ind w:left="567" w:hanging="283"/>
        <w:jc w:val="both"/>
        <w:rPr>
          <w:rFonts w:ascii="Verdana" w:hAnsi="Verdana" w:cs="Arial"/>
          <w:b/>
          <w:bCs/>
          <w:i/>
          <w:iCs/>
        </w:rPr>
      </w:pPr>
      <w:r w:rsidRPr="003B33FD">
        <w:rPr>
          <w:rFonts w:ascii="Verdana" w:hAnsi="Verdana" w:cs="Arial"/>
          <w:b/>
          <w:bCs/>
          <w:i/>
          <w:iCs/>
        </w:rPr>
        <w:t>Desagregación por subsistemas – costos operativos comparables, tasa de capital de trabajo y factores de actualización</w:t>
      </w:r>
      <w:r w:rsidR="00714ED2" w:rsidRPr="003B33FD">
        <w:rPr>
          <w:rFonts w:ascii="Verdana" w:hAnsi="Verdana" w:cs="Arial"/>
          <w:b/>
          <w:bCs/>
          <w:i/>
          <w:iCs/>
        </w:rPr>
        <w:t xml:space="preserve"> </w:t>
      </w:r>
    </w:p>
    <w:p w14:paraId="7CCFC4C3" w14:textId="77777777" w:rsidR="00F95E71" w:rsidRPr="003B33FD" w:rsidRDefault="00F95E71" w:rsidP="00F95E71">
      <w:pPr>
        <w:jc w:val="both"/>
        <w:rPr>
          <w:rFonts w:ascii="Verdana" w:hAnsi="Verdana" w:cs="Arial"/>
        </w:rPr>
      </w:pPr>
    </w:p>
    <w:p w14:paraId="45AD3CF2" w14:textId="77777777" w:rsidR="00D550DF" w:rsidRPr="003B33FD" w:rsidRDefault="00D550DF" w:rsidP="00D550DF">
      <w:pPr>
        <w:jc w:val="both"/>
        <w:rPr>
          <w:rFonts w:ascii="Verdana" w:hAnsi="Verdana" w:cs="Arial"/>
        </w:rPr>
      </w:pPr>
      <w:r w:rsidRPr="003B33FD">
        <w:rPr>
          <w:rFonts w:ascii="Verdana" w:hAnsi="Verdana" w:cs="Arial"/>
        </w:rPr>
        <w:t>En atención a las inquietudes formuladas, resulta pertinente señalar, de manera preliminar, que la metodología tarifaria incorpora la desagregación de costos por subsistemas como un mecanismo orientado a fortalecer la trazabilidad de la estructura de costos de los prestadores y a facilitar la identificación de los costos asociados a cada etapa de la prestación del servicio.</w:t>
      </w:r>
    </w:p>
    <w:p w14:paraId="2207E748" w14:textId="77777777" w:rsidR="00D550DF" w:rsidRPr="003B33FD" w:rsidRDefault="00D550DF" w:rsidP="00D550DF">
      <w:pPr>
        <w:jc w:val="both"/>
        <w:rPr>
          <w:rFonts w:ascii="Verdana" w:hAnsi="Verdana" w:cs="Arial"/>
        </w:rPr>
      </w:pPr>
    </w:p>
    <w:p w14:paraId="2440870E" w14:textId="77777777" w:rsidR="00D550DF" w:rsidRPr="003B33FD" w:rsidRDefault="00D550DF" w:rsidP="00D550DF">
      <w:pPr>
        <w:jc w:val="both"/>
        <w:rPr>
          <w:rFonts w:ascii="Verdana" w:hAnsi="Verdana" w:cs="Arial"/>
        </w:rPr>
      </w:pPr>
      <w:r w:rsidRPr="003B33FD">
        <w:rPr>
          <w:rFonts w:ascii="Verdana" w:hAnsi="Verdana" w:cs="Arial"/>
        </w:rPr>
        <w:t>En este sentido, la desagregación por subsistemas no constituye una metodología independiente para la determinación de los costos medios de referencia ni modifica las reglas previstas para el cálculo de los componentes tarifarios. Su finalidad consiste en distribuir los costos que resultan de la aplicación de la metodología tarifaria vigente, de manera que sea posible identificar la participación de cada subsistema dentro del costo total reconocido para la prestación del servicio.</w:t>
      </w:r>
    </w:p>
    <w:p w14:paraId="5A89EC04" w14:textId="77777777" w:rsidR="00D550DF" w:rsidRPr="003B33FD" w:rsidRDefault="00D550DF" w:rsidP="00D550DF">
      <w:pPr>
        <w:jc w:val="both"/>
        <w:rPr>
          <w:rFonts w:ascii="Verdana" w:hAnsi="Verdana" w:cs="Arial"/>
        </w:rPr>
      </w:pPr>
    </w:p>
    <w:p w14:paraId="78303DAD" w14:textId="77777777" w:rsidR="00D550DF" w:rsidRPr="003B33FD" w:rsidRDefault="00D550DF" w:rsidP="00D550DF">
      <w:pPr>
        <w:jc w:val="both"/>
        <w:rPr>
          <w:rFonts w:ascii="Verdana" w:hAnsi="Verdana" w:cs="Arial"/>
        </w:rPr>
      </w:pPr>
      <w:r w:rsidRPr="003B33FD">
        <w:rPr>
          <w:rFonts w:ascii="Verdana" w:hAnsi="Verdana" w:cs="Arial"/>
        </w:rPr>
        <w:t>Bajo esta lógica, la suma de los costos desagregados por subsistema debe corresponder al costo total del respectivo componente tarifario, preservando la consistencia metodológica, la trazabilidad de la información y la coherencia entre la estructura de costos del prestador y los costos efectivamente reconocidos mediante la tarifa.</w:t>
      </w:r>
    </w:p>
    <w:p w14:paraId="339333B4" w14:textId="77777777" w:rsidR="0060041B" w:rsidRPr="003B33FD" w:rsidRDefault="0060041B" w:rsidP="00D550DF">
      <w:pPr>
        <w:jc w:val="both"/>
        <w:rPr>
          <w:rFonts w:ascii="Verdana" w:hAnsi="Verdana" w:cs="Arial"/>
        </w:rPr>
      </w:pPr>
    </w:p>
    <w:p w14:paraId="76F0BCE3" w14:textId="254861E4" w:rsidR="00F95E71" w:rsidRPr="003B33FD" w:rsidRDefault="00F95E71" w:rsidP="00F95E71">
      <w:pPr>
        <w:pStyle w:val="Prrafodelista"/>
        <w:numPr>
          <w:ilvl w:val="1"/>
          <w:numId w:val="9"/>
        </w:numPr>
        <w:ind w:left="851" w:hanging="567"/>
        <w:jc w:val="both"/>
        <w:rPr>
          <w:rFonts w:ascii="Verdana" w:hAnsi="Verdana" w:cs="Arial"/>
          <w:b/>
          <w:bCs/>
          <w:i/>
          <w:iCs/>
        </w:rPr>
      </w:pPr>
      <w:r w:rsidRPr="003B33FD">
        <w:rPr>
          <w:rFonts w:ascii="Verdana" w:hAnsi="Verdana" w:cs="Arial"/>
          <w:b/>
          <w:bCs/>
          <w:i/>
          <w:iCs/>
        </w:rPr>
        <w:t xml:space="preserve">Cuál es el tratamiento metodológico correcto para efectos de la desagregación por subsistema de los componentes CMA y CMO, teniendo en cuenta que los costos administrativos y operativos considerados en los artículos 2.1.2.1.4.1.1 y 2.1.2.1.4.2.1 no evidencian una articulación explícita con la lógica de cálculo de dichos componentes definida en los artículos 2.1.2.1.3.2.1 y 2.1.2.1.3.4.1, en </w:t>
      </w:r>
      <w:r w:rsidRPr="003B33FD">
        <w:rPr>
          <w:rFonts w:ascii="Verdana" w:hAnsi="Verdana" w:cs="Arial"/>
          <w:b/>
          <w:bCs/>
          <w:i/>
          <w:iCs/>
        </w:rPr>
        <w:lastRenderedPageBreak/>
        <w:t>particular en lo relacionado con la incorporación de los puntajes de eficiencia DEA. En este sentido, resulta necesario precisar si la desagregación por subsistema debe efectuarse sobre costos previamente ajustados por eficiencia, es decir, incorporando los puntajes DEA desde la etapa de desagregación, o si, por el contrario, dicha afectación debe aplicarse con posterioridad a la asignación de costos por subsistema.</w:t>
      </w:r>
    </w:p>
    <w:p w14:paraId="0F1D96AB" w14:textId="77777777" w:rsidR="00F95E71" w:rsidRPr="003B33FD" w:rsidRDefault="00F95E71" w:rsidP="00F95E71">
      <w:pPr>
        <w:jc w:val="both"/>
        <w:rPr>
          <w:rFonts w:ascii="Verdana" w:hAnsi="Verdana" w:cs="Arial"/>
        </w:rPr>
      </w:pPr>
    </w:p>
    <w:p w14:paraId="7519EE21" w14:textId="77777777" w:rsidR="00714ED2" w:rsidRPr="003B33FD" w:rsidRDefault="00714ED2" w:rsidP="00714ED2">
      <w:pPr>
        <w:jc w:val="both"/>
        <w:rPr>
          <w:rFonts w:ascii="Verdana" w:hAnsi="Verdana" w:cs="Arial"/>
        </w:rPr>
      </w:pPr>
      <w:r w:rsidRPr="003B33FD">
        <w:rPr>
          <w:rFonts w:ascii="Verdana" w:hAnsi="Verdana" w:cs="Arial"/>
        </w:rPr>
        <w:t>Con relación a la consulta formulada, es preciso indicar que la metodología tarifaria distingue entre dos etapas conceptualmente diferentes: (i) la determinación de los costos reconocidos para cada componente tarifario y (</w:t>
      </w:r>
      <w:proofErr w:type="spellStart"/>
      <w:r w:rsidRPr="003B33FD">
        <w:rPr>
          <w:rFonts w:ascii="Verdana" w:hAnsi="Verdana" w:cs="Arial"/>
        </w:rPr>
        <w:t>ii</w:t>
      </w:r>
      <w:proofErr w:type="spellEnd"/>
      <w:r w:rsidRPr="003B33FD">
        <w:rPr>
          <w:rFonts w:ascii="Verdana" w:hAnsi="Verdana" w:cs="Arial"/>
        </w:rPr>
        <w:t>) la asignación o desagregación de dichos costos por subsistemas.</w:t>
      </w:r>
    </w:p>
    <w:p w14:paraId="7ED16F3C" w14:textId="77777777" w:rsidR="00714ED2" w:rsidRPr="003B33FD" w:rsidRDefault="00714ED2" w:rsidP="00714ED2">
      <w:pPr>
        <w:jc w:val="both"/>
        <w:rPr>
          <w:rFonts w:ascii="Verdana" w:hAnsi="Verdana" w:cs="Arial"/>
        </w:rPr>
      </w:pPr>
    </w:p>
    <w:p w14:paraId="43A53C52" w14:textId="44BF231E" w:rsidR="00714ED2" w:rsidRPr="003B33FD" w:rsidRDefault="00714ED2" w:rsidP="00714ED2">
      <w:pPr>
        <w:jc w:val="both"/>
        <w:rPr>
          <w:rFonts w:ascii="Verdana" w:hAnsi="Verdana" w:cs="Arial"/>
        </w:rPr>
      </w:pPr>
      <w:r w:rsidRPr="003B33FD">
        <w:rPr>
          <w:rFonts w:ascii="Verdana" w:hAnsi="Verdana" w:cs="Arial"/>
        </w:rPr>
        <w:t>En ese sentido, sin perjuicio de las competencias de interpretación que correspondan a la Comisión en casos particulares, se considera que la desagregación debe efectuarse sobre los costos que resultan de la aplicación de las reglas metodológicas previstas para cada componente tarifario. Lo anterior implica que los costos administrativos y operativos objeto de desagregación deben corresponder a aquellos que incorporan los ajustes regulatorios definidos en la metodología, entre ellos los asociados a la eficiencia cuando resulte aplicable.</w:t>
      </w:r>
    </w:p>
    <w:p w14:paraId="3507E271" w14:textId="77777777" w:rsidR="00714ED2" w:rsidRPr="003B33FD" w:rsidRDefault="00714ED2" w:rsidP="00714ED2">
      <w:pPr>
        <w:jc w:val="both"/>
        <w:rPr>
          <w:rFonts w:ascii="Verdana" w:hAnsi="Verdana" w:cs="Arial"/>
        </w:rPr>
      </w:pPr>
    </w:p>
    <w:p w14:paraId="0A86DBED" w14:textId="77777777" w:rsidR="00714ED2" w:rsidRPr="003B33FD" w:rsidRDefault="00714ED2" w:rsidP="00714ED2">
      <w:pPr>
        <w:jc w:val="both"/>
        <w:rPr>
          <w:rFonts w:ascii="Verdana" w:hAnsi="Verdana" w:cs="Arial"/>
        </w:rPr>
      </w:pPr>
      <w:r w:rsidRPr="003B33FD">
        <w:rPr>
          <w:rFonts w:ascii="Verdana" w:hAnsi="Verdana" w:cs="Arial"/>
        </w:rPr>
        <w:t>Esta interpretación permite preservar la correspondencia entre los costos desagregados y los costos efectivamente reconocidos en la tarifa, evitando diferencias entre los valores utilizados para la asignación por subsistemas y aquellos empleados posteriormente en la determinación de los costos medios de prestación del servicio.</w:t>
      </w:r>
    </w:p>
    <w:p w14:paraId="72AFC286" w14:textId="77777777" w:rsidR="00714ED2" w:rsidRPr="003B33FD" w:rsidRDefault="00714ED2" w:rsidP="00714ED2">
      <w:pPr>
        <w:jc w:val="both"/>
        <w:rPr>
          <w:rFonts w:ascii="Verdana" w:hAnsi="Verdana" w:cs="Arial"/>
        </w:rPr>
      </w:pPr>
    </w:p>
    <w:p w14:paraId="0D975BB4" w14:textId="7918065B" w:rsidR="00F95E71" w:rsidRPr="003B33FD" w:rsidRDefault="00F95E71" w:rsidP="00DF38BF">
      <w:pPr>
        <w:pStyle w:val="Prrafodelista"/>
        <w:numPr>
          <w:ilvl w:val="1"/>
          <w:numId w:val="9"/>
        </w:numPr>
        <w:ind w:left="851" w:hanging="567"/>
        <w:jc w:val="both"/>
        <w:rPr>
          <w:rFonts w:ascii="Verdana" w:hAnsi="Verdana" w:cs="Arial"/>
          <w:b/>
          <w:bCs/>
          <w:i/>
          <w:iCs/>
        </w:rPr>
      </w:pPr>
      <w:r w:rsidRPr="003B33FD">
        <w:rPr>
          <w:rFonts w:ascii="Verdana" w:hAnsi="Verdana" w:cs="Arial"/>
          <w:b/>
          <w:bCs/>
          <w:i/>
          <w:iCs/>
        </w:rPr>
        <w:t>Adicionalmente, solicitamos se indiquen las razones técnicas que sustentan la inclusión o no de los puntajes de eficiencia DEA en esta etapa, especialmente en términos de la consistencia entre los costos desagregados por subsistema y los costos efectivamente reconocidos en la tarifa, así como de la preservación de la coherencia interna de la metodología tarifaria.</w:t>
      </w:r>
      <w:r w:rsidR="00DF38BF" w:rsidRPr="003B33FD">
        <w:rPr>
          <w:rFonts w:ascii="Verdana" w:hAnsi="Verdana" w:cs="Arial"/>
          <w:b/>
          <w:bCs/>
          <w:i/>
          <w:iCs/>
        </w:rPr>
        <w:t xml:space="preserve"> </w:t>
      </w:r>
    </w:p>
    <w:p w14:paraId="2CE21E74" w14:textId="77777777" w:rsidR="00F95E71" w:rsidRPr="003B33FD" w:rsidRDefault="00F95E71" w:rsidP="00F95E71">
      <w:pPr>
        <w:jc w:val="both"/>
        <w:rPr>
          <w:rFonts w:ascii="Verdana" w:hAnsi="Verdana" w:cs="Arial"/>
        </w:rPr>
      </w:pPr>
    </w:p>
    <w:p w14:paraId="7739A32B" w14:textId="6F90FC08" w:rsidR="00072EDB" w:rsidRPr="003B33FD" w:rsidRDefault="00072EDB" w:rsidP="00072EDB">
      <w:pPr>
        <w:jc w:val="both"/>
        <w:rPr>
          <w:rFonts w:ascii="Verdana" w:hAnsi="Verdana" w:cs="Arial"/>
        </w:rPr>
      </w:pPr>
      <w:r w:rsidRPr="003B33FD">
        <w:rPr>
          <w:rFonts w:ascii="Verdana" w:hAnsi="Verdana" w:cs="Arial"/>
        </w:rPr>
        <w:t>Desde el punto de vista metodológico, la incorporación de los puntajes de eficiencia en forma previa a la desagregación por subsistemas favorece la consistencia interna de la metodología tarifaria, en la medida en que garantiza que la suma de los costos asignados a los diferentes subsistemas corresponda al valor total reconocido para cada componente tarifario.</w:t>
      </w:r>
      <w:r w:rsidR="009C7292">
        <w:rPr>
          <w:rFonts w:ascii="Verdana" w:hAnsi="Verdana" w:cs="Arial"/>
        </w:rPr>
        <w:t xml:space="preserve"> </w:t>
      </w:r>
      <w:r w:rsidRPr="003B33FD">
        <w:rPr>
          <w:rFonts w:ascii="Verdana" w:hAnsi="Verdana" w:cs="Arial"/>
        </w:rPr>
        <w:t xml:space="preserve">Si la desagregación se realizara sobre costos sin incorporar los ajustes regulatorios previstos en la metodología, y dichos ajustes se </w:t>
      </w:r>
      <w:r w:rsidRPr="003B33FD">
        <w:rPr>
          <w:rFonts w:ascii="Verdana" w:hAnsi="Verdana" w:cs="Arial"/>
        </w:rPr>
        <w:lastRenderedPageBreak/>
        <w:t>aplicarán posteriormente a nivel de cada subsistema, podrían generarse diferencias derivadas de aproximaciones, redondeos o criterios de asignación, afectando la trazabilidad entre la estructura de costos del prestador y los valores finalmente reconocidos en la tarifa.</w:t>
      </w:r>
    </w:p>
    <w:p w14:paraId="7935A7B2" w14:textId="77777777" w:rsidR="00072EDB" w:rsidRPr="003B33FD" w:rsidRDefault="00072EDB" w:rsidP="00072EDB">
      <w:pPr>
        <w:jc w:val="both"/>
        <w:rPr>
          <w:rFonts w:ascii="Verdana" w:hAnsi="Verdana" w:cs="Arial"/>
        </w:rPr>
      </w:pPr>
    </w:p>
    <w:p w14:paraId="1A6F5A44" w14:textId="77777777" w:rsidR="00072EDB" w:rsidRPr="003B33FD" w:rsidRDefault="00072EDB" w:rsidP="00072EDB">
      <w:pPr>
        <w:jc w:val="both"/>
        <w:rPr>
          <w:rFonts w:ascii="Verdana" w:hAnsi="Verdana" w:cs="Arial"/>
        </w:rPr>
      </w:pPr>
      <w:r w:rsidRPr="003B33FD">
        <w:rPr>
          <w:rFonts w:ascii="Verdana" w:hAnsi="Verdana" w:cs="Arial"/>
        </w:rPr>
        <w:t>En consecuencia, desde una perspectiva metodológica, resulta consistente que la desagregación constituya una etapa de distribución de costos previamente determinados conforme a la metodología tarifaria vigente, y no un procedimiento destinado a recalcular los componentes tarifarios.</w:t>
      </w:r>
    </w:p>
    <w:p w14:paraId="3CE6AD42" w14:textId="77777777" w:rsidR="00072EDB" w:rsidRPr="003B33FD" w:rsidRDefault="00072EDB" w:rsidP="00072EDB">
      <w:pPr>
        <w:jc w:val="both"/>
        <w:rPr>
          <w:rFonts w:ascii="Verdana" w:hAnsi="Verdana" w:cs="Arial"/>
        </w:rPr>
      </w:pPr>
    </w:p>
    <w:p w14:paraId="1EC25D3E" w14:textId="2C09856F" w:rsidR="007621EE" w:rsidRPr="003B33FD" w:rsidRDefault="00F95E71" w:rsidP="008B643B">
      <w:pPr>
        <w:pStyle w:val="Prrafodelista"/>
        <w:numPr>
          <w:ilvl w:val="1"/>
          <w:numId w:val="9"/>
        </w:numPr>
        <w:ind w:left="851" w:hanging="567"/>
        <w:jc w:val="both"/>
        <w:rPr>
          <w:rFonts w:ascii="Verdana" w:hAnsi="Verdana" w:cs="Arial"/>
          <w:b/>
          <w:bCs/>
          <w:i/>
          <w:iCs/>
        </w:rPr>
      </w:pPr>
      <w:r w:rsidRPr="003B33FD">
        <w:rPr>
          <w:rFonts w:ascii="Verdana" w:hAnsi="Verdana" w:cs="Arial"/>
          <w:b/>
          <w:bCs/>
          <w:i/>
          <w:iCs/>
        </w:rPr>
        <w:t>Cómo debe efectuarse la articulación metodológica entre las fórmulas de separación</w:t>
      </w:r>
      <w:r w:rsidR="008B643B" w:rsidRPr="003B33FD">
        <w:rPr>
          <w:rFonts w:ascii="Verdana" w:hAnsi="Verdana" w:cs="Arial"/>
          <w:b/>
          <w:bCs/>
          <w:i/>
          <w:iCs/>
        </w:rPr>
        <w:t xml:space="preserve"> </w:t>
      </w:r>
      <w:r w:rsidRPr="003B33FD">
        <w:rPr>
          <w:rFonts w:ascii="Verdana" w:hAnsi="Verdana" w:cs="Arial"/>
          <w:b/>
          <w:bCs/>
          <w:i/>
          <w:iCs/>
        </w:rPr>
        <w:t>por subsistemas y las fórmulas generales de cálculo, particularmente para garantizar la</w:t>
      </w:r>
      <w:r w:rsidR="008B643B" w:rsidRPr="003B33FD">
        <w:rPr>
          <w:rFonts w:ascii="Verdana" w:hAnsi="Verdana" w:cs="Arial"/>
          <w:b/>
          <w:bCs/>
          <w:i/>
          <w:iCs/>
        </w:rPr>
        <w:t xml:space="preserve"> </w:t>
      </w:r>
      <w:r w:rsidRPr="003B33FD">
        <w:rPr>
          <w:rFonts w:ascii="Verdana" w:hAnsi="Verdana" w:cs="Arial"/>
          <w:b/>
          <w:bCs/>
          <w:i/>
          <w:iCs/>
        </w:rPr>
        <w:t>incorporación de la tasa de capital de trabajo (</w:t>
      </w:r>
      <w:proofErr w:type="spellStart"/>
      <w:r w:rsidRPr="003B33FD">
        <w:rPr>
          <w:rFonts w:ascii="Verdana" w:hAnsi="Verdana" w:cs="Arial"/>
          <w:b/>
          <w:bCs/>
          <w:i/>
          <w:iCs/>
        </w:rPr>
        <w:t>kct</w:t>
      </w:r>
      <w:proofErr w:type="spellEnd"/>
      <w:r w:rsidRPr="003B33FD">
        <w:rPr>
          <w:rFonts w:ascii="Verdana" w:hAnsi="Verdana" w:cs="Arial"/>
          <w:b/>
          <w:bCs/>
          <w:i/>
          <w:iCs/>
        </w:rPr>
        <w:t>), de los factores de actualización y de la</w:t>
      </w:r>
      <w:r w:rsidR="008B643B" w:rsidRPr="003B33FD">
        <w:rPr>
          <w:rFonts w:ascii="Verdana" w:hAnsi="Verdana" w:cs="Arial"/>
          <w:b/>
          <w:bCs/>
          <w:i/>
          <w:iCs/>
        </w:rPr>
        <w:t xml:space="preserve"> </w:t>
      </w:r>
      <w:r w:rsidRPr="003B33FD">
        <w:rPr>
          <w:rFonts w:ascii="Verdana" w:hAnsi="Verdana" w:cs="Arial"/>
          <w:b/>
          <w:bCs/>
          <w:i/>
          <w:iCs/>
        </w:rPr>
        <w:t>lógica temporal de reconocimiento prevista para cada componente tarifario.</w:t>
      </w:r>
    </w:p>
    <w:p w14:paraId="5A2AA5C6" w14:textId="77777777" w:rsidR="00F95E71" w:rsidRPr="003B33FD" w:rsidRDefault="00F95E71" w:rsidP="00FF25DE">
      <w:pPr>
        <w:jc w:val="both"/>
        <w:rPr>
          <w:rFonts w:ascii="Verdana" w:hAnsi="Verdana" w:cs="Arial"/>
        </w:rPr>
      </w:pPr>
    </w:p>
    <w:p w14:paraId="27095768" w14:textId="77777777" w:rsidR="0023251B" w:rsidRPr="003B33FD" w:rsidRDefault="0023251B" w:rsidP="0023251B">
      <w:pPr>
        <w:jc w:val="both"/>
        <w:rPr>
          <w:rFonts w:ascii="Verdana" w:hAnsi="Verdana" w:cs="Arial"/>
        </w:rPr>
      </w:pPr>
      <w:r w:rsidRPr="003B33FD">
        <w:rPr>
          <w:rFonts w:ascii="Verdana" w:hAnsi="Verdana" w:cs="Arial"/>
        </w:rPr>
        <w:t>Respecto de la articulación entre las expresiones utilizadas para la separación por subsistemas y las fórmulas generales de cálculo de los componentes tarifarios, resulta pertinente señalar que la metodología tarifaria establece períodos de referencia, criterios de actualización y reglas de reconocimiento específicos para cada componente.</w:t>
      </w:r>
    </w:p>
    <w:p w14:paraId="2C6AEC20" w14:textId="77777777" w:rsidR="0023251B" w:rsidRPr="003B33FD" w:rsidRDefault="0023251B" w:rsidP="0023251B">
      <w:pPr>
        <w:jc w:val="both"/>
        <w:rPr>
          <w:rFonts w:ascii="Verdana" w:hAnsi="Verdana" w:cs="Arial"/>
        </w:rPr>
      </w:pPr>
    </w:p>
    <w:p w14:paraId="1CF15C12" w14:textId="45444134" w:rsidR="0023251B" w:rsidRPr="003B33FD" w:rsidRDefault="0023251B" w:rsidP="0023251B">
      <w:pPr>
        <w:jc w:val="both"/>
        <w:rPr>
          <w:rFonts w:ascii="Verdana" w:hAnsi="Verdana" w:cs="Arial"/>
        </w:rPr>
      </w:pPr>
      <w:r w:rsidRPr="003B33FD">
        <w:rPr>
          <w:rFonts w:ascii="Verdana" w:hAnsi="Verdana" w:cs="Arial"/>
        </w:rPr>
        <w:t>En ese contexto, la articulación entre las expresiones de cálculo de los costos medios y las fórmulas de desagregación por subsistemas debería preservar las mismas condiciones temporales y monetarias previstas para cada componente tarifario. En consecuencia, la desagregación por subsistemas debe efectuarse sobre los costos determinados conforme a la metodología vigente, incluyendo, cuando corresponda, la aplicación de la tasa de capital de trabajo, los factores de actualización y los demás ajustes regulatorios propios de cada componente.</w:t>
      </w:r>
    </w:p>
    <w:p w14:paraId="7265ED36" w14:textId="77777777" w:rsidR="0023251B" w:rsidRPr="003B33FD" w:rsidRDefault="0023251B" w:rsidP="0023251B">
      <w:pPr>
        <w:jc w:val="both"/>
        <w:rPr>
          <w:rFonts w:ascii="Verdana" w:hAnsi="Verdana" w:cs="Arial"/>
        </w:rPr>
      </w:pPr>
    </w:p>
    <w:p w14:paraId="4B4A262E" w14:textId="77777777" w:rsidR="0023251B" w:rsidRPr="003B33FD" w:rsidRDefault="0023251B" w:rsidP="0023251B">
      <w:pPr>
        <w:jc w:val="both"/>
        <w:rPr>
          <w:rFonts w:ascii="Verdana" w:hAnsi="Verdana" w:cs="Arial"/>
        </w:rPr>
      </w:pPr>
      <w:r w:rsidRPr="003B33FD">
        <w:rPr>
          <w:rFonts w:ascii="Verdana" w:hAnsi="Verdana" w:cs="Arial"/>
        </w:rPr>
        <w:t>Bajo este enfoque, la desagregación no modifica la metodología de cálculo de los costos medios, sino que constituye un procedimiento de asignación de los costos previamente determinados, permitiendo conservar la trazabilidad entre el costo total reconocido regulatoriamente y la suma de los costos asignados a cada subsistema.</w:t>
      </w:r>
    </w:p>
    <w:p w14:paraId="76A78C66" w14:textId="77777777" w:rsidR="0023251B" w:rsidRPr="003B33FD" w:rsidRDefault="0023251B" w:rsidP="0023251B">
      <w:pPr>
        <w:jc w:val="both"/>
        <w:rPr>
          <w:rFonts w:ascii="Verdana" w:hAnsi="Verdana" w:cs="Arial"/>
        </w:rPr>
      </w:pPr>
    </w:p>
    <w:p w14:paraId="12057FF5" w14:textId="66864181" w:rsidR="007C6797" w:rsidRPr="003B33FD" w:rsidRDefault="0023251B" w:rsidP="0023251B">
      <w:pPr>
        <w:jc w:val="both"/>
        <w:rPr>
          <w:rFonts w:ascii="Verdana" w:hAnsi="Verdana" w:cs="Arial"/>
        </w:rPr>
      </w:pPr>
      <w:r w:rsidRPr="003B33FD">
        <w:rPr>
          <w:rFonts w:ascii="Verdana" w:hAnsi="Verdana" w:cs="Arial"/>
        </w:rPr>
        <w:t xml:space="preserve">En consecuencia, dicho procedimiento debe preservar la equivalencia entre el costo total reconocido para cada componente y la suma de los costos asignados a los respectivos subsistemas, garantizando la consistencia metodológica, la trazabilidad </w:t>
      </w:r>
      <w:r w:rsidRPr="003B33FD">
        <w:rPr>
          <w:rFonts w:ascii="Verdana" w:hAnsi="Verdana" w:cs="Arial"/>
        </w:rPr>
        <w:lastRenderedPageBreak/>
        <w:t>de la información y la aplicación uniforme de las reglas de cálculo previstas en la regulación tarifaria.</w:t>
      </w:r>
    </w:p>
    <w:p w14:paraId="7531F9E2" w14:textId="77777777" w:rsidR="00771659" w:rsidRPr="003B33FD" w:rsidRDefault="00771659" w:rsidP="007C6797">
      <w:pPr>
        <w:jc w:val="both"/>
        <w:rPr>
          <w:rFonts w:ascii="Verdana" w:hAnsi="Verdana" w:cs="Arial"/>
        </w:rPr>
      </w:pPr>
    </w:p>
    <w:p w14:paraId="46290DD7" w14:textId="77777777" w:rsidR="004B15A3" w:rsidRPr="003B33FD" w:rsidRDefault="004B15A3" w:rsidP="004B15A3">
      <w:pPr>
        <w:jc w:val="both"/>
        <w:rPr>
          <w:rFonts w:ascii="Verdana" w:hAnsi="Verdana" w:cs="Arial"/>
          <w:lang w:val="es-CO"/>
        </w:rPr>
      </w:pPr>
      <w:r w:rsidRPr="003B33FD">
        <w:rPr>
          <w:rFonts w:ascii="Verdana" w:hAnsi="Verdana" w:cs="Arial"/>
        </w:rPr>
        <w:t>En caso de requerir información adicional y/o asesoría en materia tarifaria, le invitamos a comunicarse con la Subdirección de Regulación al teléfono en Bogotá (601) 487 3820 o a la línea gratuita nacional 01 8000 517 565 y uno de nuestros asesores atenderá sus inquietudes.</w:t>
      </w:r>
      <w:r w:rsidRPr="003B33FD">
        <w:rPr>
          <w:rFonts w:ascii="Verdana" w:hAnsi="Verdana" w:cs="Arial"/>
          <w:lang w:val="es-CO"/>
        </w:rPr>
        <w:t> </w:t>
      </w:r>
    </w:p>
    <w:p w14:paraId="67F097C4" w14:textId="77777777" w:rsidR="00B004BC" w:rsidRPr="003B33FD" w:rsidRDefault="00B004BC" w:rsidP="00B004BC">
      <w:pPr>
        <w:jc w:val="both"/>
        <w:rPr>
          <w:rFonts w:ascii="Verdana" w:hAnsi="Verdana" w:cs="Arial"/>
        </w:rPr>
      </w:pPr>
    </w:p>
    <w:p w14:paraId="2991798B" w14:textId="77777777" w:rsidR="004D3BF3" w:rsidRPr="003B33FD" w:rsidRDefault="004D3BF3" w:rsidP="004D3BF3">
      <w:pPr>
        <w:rPr>
          <w:rFonts w:ascii="Verdana" w:hAnsi="Verdana" w:cs="Arial"/>
        </w:rPr>
      </w:pPr>
      <w:r w:rsidRPr="003B33FD">
        <w:rPr>
          <w:rFonts w:ascii="Verdana" w:hAnsi="Verdana" w:cs="Arial"/>
        </w:rPr>
        <w:t>Cordialmente,</w:t>
      </w:r>
    </w:p>
    <w:p w14:paraId="4CF09566" w14:textId="77777777" w:rsidR="004D3BF3" w:rsidRPr="003B33FD" w:rsidRDefault="004D3BF3" w:rsidP="004D3BF3">
      <w:pPr>
        <w:contextualSpacing/>
        <w:jc w:val="both"/>
        <w:rPr>
          <w:rFonts w:ascii="Verdana" w:hAnsi="Verdana" w:cs="Arial"/>
        </w:rPr>
      </w:pPr>
    </w:p>
    <w:p w14:paraId="44A043F8" w14:textId="77777777" w:rsidR="004D3BF3" w:rsidRPr="003B33FD" w:rsidRDefault="004D3BF3" w:rsidP="004D3BF3">
      <w:pPr>
        <w:contextualSpacing/>
        <w:jc w:val="both"/>
        <w:rPr>
          <w:rFonts w:ascii="Verdana" w:hAnsi="Verdana" w:cs="Arial"/>
        </w:rPr>
      </w:pPr>
    </w:p>
    <w:p w14:paraId="535C59BC" w14:textId="77777777" w:rsidR="004D3BF3" w:rsidRPr="003B33FD" w:rsidRDefault="004D3BF3" w:rsidP="004D3BF3">
      <w:pPr>
        <w:tabs>
          <w:tab w:val="left" w:pos="932"/>
        </w:tabs>
        <w:contextualSpacing/>
        <w:rPr>
          <w:rFonts w:ascii="Verdana" w:hAnsi="Verdana" w:cs="Arial"/>
        </w:rPr>
      </w:pPr>
    </w:p>
    <w:p w14:paraId="62AD19BE" w14:textId="77777777" w:rsidR="000E7C51" w:rsidRPr="003B33FD" w:rsidRDefault="000E7C51" w:rsidP="000E7C51">
      <w:pPr>
        <w:jc w:val="both"/>
        <w:rPr>
          <w:rFonts w:ascii="Verdana" w:hAnsi="Verdana" w:cs="Arial"/>
          <w:b/>
          <w:bCs/>
        </w:rPr>
      </w:pPr>
      <w:r w:rsidRPr="003B33FD">
        <w:rPr>
          <w:rFonts w:ascii="Verdana" w:hAnsi="Verdana" w:cs="Arial"/>
          <w:b/>
          <w:bCs/>
        </w:rPr>
        <w:t xml:space="preserve">JULIO CÉSAR GARCÍA LÓPEZ </w:t>
      </w:r>
    </w:p>
    <w:p w14:paraId="25C18456" w14:textId="77777777" w:rsidR="000E7C51" w:rsidRPr="0023251B" w:rsidRDefault="000E7C51" w:rsidP="000E7C51">
      <w:pPr>
        <w:jc w:val="both"/>
        <w:rPr>
          <w:rFonts w:ascii="Verdana" w:eastAsia="Arial Unicode MS" w:hAnsi="Verdana" w:cs="Arial"/>
          <w:kern w:val="3"/>
          <w:sz w:val="20"/>
          <w:szCs w:val="20"/>
          <w:lang w:val="es"/>
        </w:rPr>
      </w:pPr>
      <w:r w:rsidRPr="003B33FD">
        <w:rPr>
          <w:rFonts w:ascii="Verdana" w:eastAsia="Arial Unicode MS" w:hAnsi="Verdana" w:cs="Arial"/>
          <w:kern w:val="3"/>
          <w:lang w:val="es"/>
        </w:rPr>
        <w:t>Subdirector de Regulación (E)</w:t>
      </w:r>
    </w:p>
    <w:p w14:paraId="24371709" w14:textId="77777777" w:rsidR="000A16E8" w:rsidRDefault="000A16E8" w:rsidP="000A16E8">
      <w:pPr>
        <w:tabs>
          <w:tab w:val="left" w:pos="932"/>
        </w:tabs>
        <w:contextualSpacing/>
        <w:jc w:val="both"/>
        <w:rPr>
          <w:rFonts w:ascii="Verdana" w:hAnsi="Verdana" w:cs="Arial"/>
          <w:sz w:val="16"/>
          <w:szCs w:val="16"/>
        </w:rPr>
      </w:pPr>
    </w:p>
    <w:p w14:paraId="2EB51BED" w14:textId="6A55CE12" w:rsidR="000A16E8" w:rsidRDefault="000A16E8" w:rsidP="00523E70">
      <w:pPr>
        <w:tabs>
          <w:tab w:val="left" w:pos="932"/>
        </w:tabs>
        <w:contextualSpacing/>
        <w:jc w:val="both"/>
        <w:rPr>
          <w:rFonts w:ascii="Verdana" w:hAnsi="Verdana" w:cs="Arial"/>
          <w:sz w:val="16"/>
          <w:szCs w:val="16"/>
        </w:rPr>
      </w:pPr>
      <w:r w:rsidRPr="003F4B82">
        <w:rPr>
          <w:rFonts w:ascii="Verdana" w:hAnsi="Verdana" w:cs="Arial"/>
          <w:sz w:val="16"/>
          <w:szCs w:val="16"/>
        </w:rPr>
        <w:t>Copia</w:t>
      </w:r>
      <w:r w:rsidR="007D7D48">
        <w:rPr>
          <w:rFonts w:ascii="Verdana" w:hAnsi="Verdana" w:cs="Arial"/>
          <w:sz w:val="16"/>
          <w:szCs w:val="16"/>
        </w:rPr>
        <w:t>s</w:t>
      </w:r>
      <w:r w:rsidRPr="003F4B82">
        <w:rPr>
          <w:rFonts w:ascii="Verdana" w:hAnsi="Verdana" w:cs="Arial"/>
          <w:sz w:val="16"/>
          <w:szCs w:val="16"/>
        </w:rPr>
        <w:t xml:space="preserve">: </w:t>
      </w:r>
      <w:r w:rsidR="0023251B">
        <w:rPr>
          <w:rFonts w:ascii="Verdana" w:hAnsi="Verdana" w:cs="Arial"/>
          <w:sz w:val="16"/>
          <w:szCs w:val="16"/>
        </w:rPr>
        <w:t xml:space="preserve">- </w:t>
      </w:r>
      <w:r w:rsidR="00643CB4">
        <w:rPr>
          <w:rFonts w:ascii="Verdana" w:hAnsi="Verdana" w:cs="Arial"/>
          <w:sz w:val="16"/>
          <w:szCs w:val="16"/>
        </w:rPr>
        <w:t>Señor</w:t>
      </w:r>
      <w:r w:rsidR="0087498E">
        <w:rPr>
          <w:rFonts w:ascii="Verdana" w:hAnsi="Verdana" w:cs="Arial"/>
          <w:sz w:val="16"/>
          <w:szCs w:val="16"/>
        </w:rPr>
        <w:t>a</w:t>
      </w:r>
      <w:r w:rsidR="00643CB4">
        <w:rPr>
          <w:rFonts w:ascii="Verdana" w:hAnsi="Verdana" w:cs="Arial"/>
          <w:sz w:val="16"/>
          <w:szCs w:val="16"/>
        </w:rPr>
        <w:t xml:space="preserve"> </w:t>
      </w:r>
      <w:r w:rsidR="00C01CA6">
        <w:rPr>
          <w:rFonts w:ascii="Verdana" w:hAnsi="Verdana" w:cs="Arial"/>
          <w:sz w:val="16"/>
          <w:szCs w:val="16"/>
        </w:rPr>
        <w:t>Natalia Alejandra Uscátegui Ruiz</w:t>
      </w:r>
      <w:r w:rsidRPr="00003A4E">
        <w:rPr>
          <w:rFonts w:ascii="Verdana" w:hAnsi="Verdana" w:cs="Arial"/>
          <w:sz w:val="16"/>
          <w:szCs w:val="16"/>
        </w:rPr>
        <w:t xml:space="preserve">, </w:t>
      </w:r>
      <w:r w:rsidR="00C01CA6">
        <w:rPr>
          <w:rFonts w:ascii="Verdana" w:hAnsi="Verdana" w:cs="Arial"/>
          <w:sz w:val="16"/>
          <w:szCs w:val="16"/>
        </w:rPr>
        <w:t>subdirectora</w:t>
      </w:r>
      <w:r w:rsidR="0087498E">
        <w:rPr>
          <w:rFonts w:ascii="Verdana" w:hAnsi="Verdana" w:cs="Arial"/>
          <w:sz w:val="16"/>
          <w:szCs w:val="16"/>
        </w:rPr>
        <w:t xml:space="preserve"> </w:t>
      </w:r>
      <w:r w:rsidR="00C01CA6">
        <w:rPr>
          <w:rFonts w:ascii="Verdana" w:hAnsi="Verdana" w:cs="Arial"/>
          <w:sz w:val="16"/>
          <w:szCs w:val="16"/>
        </w:rPr>
        <w:t xml:space="preserve">de </w:t>
      </w:r>
      <w:r w:rsidR="00993348">
        <w:rPr>
          <w:rFonts w:ascii="Verdana" w:hAnsi="Verdana" w:cs="Arial"/>
          <w:sz w:val="16"/>
          <w:szCs w:val="16"/>
        </w:rPr>
        <w:t xml:space="preserve">Agua </w:t>
      </w:r>
      <w:r w:rsidR="00C01CA6">
        <w:rPr>
          <w:rFonts w:ascii="Verdana" w:hAnsi="Verdana" w:cs="Arial"/>
          <w:sz w:val="16"/>
          <w:szCs w:val="16"/>
        </w:rPr>
        <w:t xml:space="preserve">y </w:t>
      </w:r>
      <w:r w:rsidR="00993348">
        <w:rPr>
          <w:rFonts w:ascii="Verdana" w:hAnsi="Verdana" w:cs="Arial"/>
          <w:sz w:val="16"/>
          <w:szCs w:val="16"/>
        </w:rPr>
        <w:t>Saneamiento</w:t>
      </w:r>
      <w:r w:rsidR="00C01CA6">
        <w:rPr>
          <w:rFonts w:ascii="Verdana" w:hAnsi="Verdana" w:cs="Arial"/>
          <w:sz w:val="16"/>
          <w:szCs w:val="16"/>
        </w:rPr>
        <w:t>, Departamento Nacional de Planeación</w:t>
      </w:r>
      <w:r w:rsidR="00DD7E40">
        <w:rPr>
          <w:rFonts w:ascii="Verdana" w:hAnsi="Verdana" w:cs="Arial"/>
          <w:sz w:val="16"/>
          <w:szCs w:val="16"/>
        </w:rPr>
        <w:t>;</w:t>
      </w:r>
      <w:r w:rsidR="00523E70">
        <w:rPr>
          <w:rFonts w:ascii="Verdana" w:hAnsi="Verdana" w:cs="Arial"/>
          <w:sz w:val="16"/>
          <w:szCs w:val="16"/>
        </w:rPr>
        <w:t xml:space="preserve"> </w:t>
      </w:r>
      <w:hyperlink r:id="rId13" w:history="1">
        <w:r w:rsidR="00AA4886" w:rsidRPr="000B231A">
          <w:rPr>
            <w:rStyle w:val="Hipervnculo"/>
            <w:rFonts w:ascii="Verdana" w:hAnsi="Verdana" w:cs="Arial"/>
            <w:sz w:val="16"/>
            <w:szCs w:val="16"/>
          </w:rPr>
          <w:t>servicioalciudadano@dnp.gov.co</w:t>
        </w:r>
      </w:hyperlink>
      <w:r w:rsidR="00DF0CA7">
        <w:rPr>
          <w:rFonts w:ascii="Verdana" w:hAnsi="Verdana" w:cs="Arial"/>
          <w:sz w:val="16"/>
          <w:szCs w:val="16"/>
        </w:rPr>
        <w:t xml:space="preserve"> </w:t>
      </w:r>
      <w:r w:rsidR="00A7754A">
        <w:rPr>
          <w:rFonts w:ascii="Verdana" w:hAnsi="Verdana" w:cs="Arial"/>
          <w:sz w:val="16"/>
          <w:szCs w:val="16"/>
        </w:rPr>
        <w:t xml:space="preserve">y </w:t>
      </w:r>
      <w:hyperlink r:id="rId14" w:history="1">
        <w:r w:rsidR="00A7754A" w:rsidRPr="000B231A">
          <w:rPr>
            <w:rStyle w:val="Hipervnculo"/>
            <w:rFonts w:ascii="Verdana" w:hAnsi="Verdana" w:cs="Arial"/>
            <w:sz w:val="16"/>
            <w:szCs w:val="16"/>
          </w:rPr>
          <w:t>notificacionesjudiciales@dnp.gov.co</w:t>
        </w:r>
      </w:hyperlink>
      <w:r w:rsidR="00C01CA6">
        <w:rPr>
          <w:rFonts w:ascii="Verdana" w:hAnsi="Verdana" w:cs="Arial"/>
          <w:sz w:val="16"/>
          <w:szCs w:val="16"/>
        </w:rPr>
        <w:t>;</w:t>
      </w:r>
      <w:r w:rsidR="00643CB4">
        <w:rPr>
          <w:rFonts w:ascii="Verdana" w:hAnsi="Verdana" w:cs="Arial"/>
          <w:sz w:val="16"/>
          <w:szCs w:val="16"/>
        </w:rPr>
        <w:t xml:space="preserve"> </w:t>
      </w:r>
      <w:r w:rsidR="00C01CA6">
        <w:rPr>
          <w:rFonts w:ascii="Verdana" w:hAnsi="Verdana" w:cs="Arial"/>
          <w:sz w:val="16"/>
          <w:szCs w:val="16"/>
        </w:rPr>
        <w:t xml:space="preserve">Calle 26 </w:t>
      </w:r>
      <w:r w:rsidR="00DE3F5C">
        <w:rPr>
          <w:rFonts w:ascii="Verdana" w:hAnsi="Verdana" w:cs="Arial"/>
          <w:sz w:val="16"/>
          <w:szCs w:val="16"/>
        </w:rPr>
        <w:t>#</w:t>
      </w:r>
      <w:r w:rsidR="00C01CA6">
        <w:rPr>
          <w:rFonts w:ascii="Verdana" w:hAnsi="Verdana" w:cs="Arial"/>
          <w:sz w:val="16"/>
          <w:szCs w:val="16"/>
        </w:rPr>
        <w:t>13</w:t>
      </w:r>
      <w:r w:rsidRPr="00003A4E">
        <w:rPr>
          <w:rFonts w:ascii="Verdana" w:hAnsi="Verdana" w:cs="Arial"/>
          <w:sz w:val="16"/>
          <w:szCs w:val="16"/>
        </w:rPr>
        <w:t>-</w:t>
      </w:r>
      <w:r w:rsidR="00C01CA6">
        <w:rPr>
          <w:rFonts w:ascii="Verdana" w:hAnsi="Verdana" w:cs="Arial"/>
          <w:sz w:val="16"/>
          <w:szCs w:val="16"/>
        </w:rPr>
        <w:t>19</w:t>
      </w:r>
      <w:r w:rsidRPr="00003A4E">
        <w:rPr>
          <w:rFonts w:ascii="Verdana" w:hAnsi="Verdana" w:cs="Arial"/>
          <w:sz w:val="16"/>
          <w:szCs w:val="16"/>
        </w:rPr>
        <w:t>, Bogotá D.C.</w:t>
      </w:r>
      <w:r w:rsidR="004016F9">
        <w:rPr>
          <w:rFonts w:ascii="Verdana" w:hAnsi="Verdana" w:cs="Arial"/>
          <w:sz w:val="16"/>
          <w:szCs w:val="16"/>
        </w:rPr>
        <w:t xml:space="preserve"> En respuesta al radicado DNP </w:t>
      </w:r>
      <w:r w:rsidR="00AB0731" w:rsidRPr="00AB0731">
        <w:rPr>
          <w:rFonts w:ascii="Verdana" w:hAnsi="Verdana" w:cs="Arial"/>
          <w:sz w:val="16"/>
          <w:szCs w:val="16"/>
        </w:rPr>
        <w:t>20265740551861</w:t>
      </w:r>
      <w:r w:rsidR="004016F9">
        <w:rPr>
          <w:rFonts w:ascii="Verdana" w:hAnsi="Verdana" w:cs="Arial"/>
          <w:sz w:val="16"/>
          <w:szCs w:val="16"/>
        </w:rPr>
        <w:t>.</w:t>
      </w:r>
    </w:p>
    <w:p w14:paraId="096E9CF9" w14:textId="7BB233BF" w:rsidR="00C00BF3" w:rsidRDefault="0023251B" w:rsidP="007D7D48">
      <w:pPr>
        <w:tabs>
          <w:tab w:val="left" w:pos="932"/>
        </w:tabs>
        <w:contextualSpacing/>
        <w:jc w:val="both"/>
        <w:rPr>
          <w:rFonts w:ascii="Verdana" w:hAnsi="Verdana" w:cs="Arial"/>
          <w:sz w:val="16"/>
          <w:szCs w:val="16"/>
        </w:rPr>
      </w:pPr>
      <w:r>
        <w:rPr>
          <w:rFonts w:ascii="Verdana" w:hAnsi="Verdana" w:cs="Arial"/>
          <w:sz w:val="16"/>
          <w:szCs w:val="16"/>
        </w:rPr>
        <w:t xml:space="preserve">- </w:t>
      </w:r>
      <w:r w:rsidR="00C00BF3">
        <w:rPr>
          <w:rFonts w:ascii="Verdana" w:hAnsi="Verdana" w:cs="Arial"/>
          <w:sz w:val="16"/>
          <w:szCs w:val="16"/>
        </w:rPr>
        <w:t>Señor</w:t>
      </w:r>
      <w:r w:rsidR="00D66AED">
        <w:rPr>
          <w:rFonts w:ascii="Verdana" w:hAnsi="Verdana" w:cs="Arial"/>
          <w:sz w:val="16"/>
          <w:szCs w:val="16"/>
        </w:rPr>
        <w:t>a</w:t>
      </w:r>
      <w:r w:rsidR="007D7D48">
        <w:rPr>
          <w:rFonts w:ascii="Verdana" w:hAnsi="Verdana" w:cs="Arial"/>
          <w:sz w:val="16"/>
          <w:szCs w:val="16"/>
        </w:rPr>
        <w:t xml:space="preserve"> </w:t>
      </w:r>
      <w:r w:rsidR="007D7D48" w:rsidRPr="007D7D48">
        <w:rPr>
          <w:rFonts w:ascii="Verdana" w:hAnsi="Verdana" w:cs="Arial"/>
          <w:sz w:val="16"/>
          <w:szCs w:val="16"/>
        </w:rPr>
        <w:t>Ana Melissa Almario Patarroyo</w:t>
      </w:r>
      <w:r w:rsidR="00B159A7">
        <w:rPr>
          <w:rFonts w:ascii="Verdana" w:hAnsi="Verdana" w:cs="Arial"/>
          <w:sz w:val="16"/>
          <w:szCs w:val="16"/>
        </w:rPr>
        <w:t xml:space="preserve">, </w:t>
      </w:r>
      <w:r w:rsidR="007D7D48" w:rsidRPr="007D7D48">
        <w:rPr>
          <w:rFonts w:ascii="Verdana" w:hAnsi="Verdana" w:cs="Arial"/>
          <w:sz w:val="16"/>
          <w:szCs w:val="16"/>
        </w:rPr>
        <w:t xml:space="preserve">Superintendente </w:t>
      </w:r>
      <w:proofErr w:type="gramStart"/>
      <w:r w:rsidR="007D7D48" w:rsidRPr="007D7D48">
        <w:rPr>
          <w:rFonts w:ascii="Verdana" w:hAnsi="Verdana" w:cs="Arial"/>
          <w:sz w:val="16"/>
          <w:szCs w:val="16"/>
        </w:rPr>
        <w:t>Delegada</w:t>
      </w:r>
      <w:proofErr w:type="gramEnd"/>
      <w:r w:rsidR="007D7D48" w:rsidRPr="007D7D48">
        <w:rPr>
          <w:rFonts w:ascii="Verdana" w:hAnsi="Verdana" w:cs="Arial"/>
          <w:sz w:val="16"/>
          <w:szCs w:val="16"/>
        </w:rPr>
        <w:t xml:space="preserve"> para Acueducto, Alcantarillado y Aseo</w:t>
      </w:r>
      <w:r w:rsidR="00B159A7">
        <w:rPr>
          <w:rFonts w:ascii="Verdana" w:hAnsi="Verdana" w:cs="Arial"/>
          <w:sz w:val="16"/>
          <w:szCs w:val="16"/>
        </w:rPr>
        <w:t>, Superintendencia de Servicios Públicos Domiciliarios;</w:t>
      </w:r>
      <w:r w:rsidR="007F7C20">
        <w:rPr>
          <w:rFonts w:ascii="Verdana" w:hAnsi="Verdana" w:cs="Arial"/>
          <w:sz w:val="16"/>
          <w:szCs w:val="16"/>
        </w:rPr>
        <w:t xml:space="preserve"> </w:t>
      </w:r>
      <w:hyperlink r:id="rId15" w:history="1">
        <w:r w:rsidR="007F7C20" w:rsidRPr="000B231A">
          <w:rPr>
            <w:rStyle w:val="Hipervnculo"/>
            <w:rFonts w:ascii="Verdana" w:hAnsi="Verdana" w:cs="Arial"/>
            <w:sz w:val="16"/>
            <w:szCs w:val="16"/>
          </w:rPr>
          <w:t>sspd@superservicios.gov.co</w:t>
        </w:r>
      </w:hyperlink>
      <w:r w:rsidR="007F7C20">
        <w:rPr>
          <w:rFonts w:ascii="Verdana" w:hAnsi="Verdana" w:cs="Arial"/>
          <w:sz w:val="16"/>
          <w:szCs w:val="16"/>
        </w:rPr>
        <w:t xml:space="preserve"> y</w:t>
      </w:r>
      <w:r w:rsidR="00B159A7">
        <w:rPr>
          <w:rFonts w:ascii="Verdana" w:hAnsi="Verdana" w:cs="Arial"/>
          <w:sz w:val="16"/>
          <w:szCs w:val="16"/>
        </w:rPr>
        <w:t xml:space="preserve"> </w:t>
      </w:r>
      <w:hyperlink r:id="rId16" w:history="1">
        <w:r w:rsidR="007A50B5" w:rsidRPr="000B231A">
          <w:rPr>
            <w:rStyle w:val="Hipervnculo"/>
            <w:rFonts w:ascii="Verdana" w:hAnsi="Verdana" w:cs="Arial"/>
            <w:sz w:val="16"/>
            <w:szCs w:val="16"/>
          </w:rPr>
          <w:t>aalmario@superservicios.gov.co</w:t>
        </w:r>
      </w:hyperlink>
      <w:r w:rsidR="007A50B5">
        <w:rPr>
          <w:rFonts w:ascii="Verdana" w:hAnsi="Verdana" w:cs="Arial"/>
          <w:sz w:val="16"/>
          <w:szCs w:val="16"/>
        </w:rPr>
        <w:t>; C</w:t>
      </w:r>
      <w:r w:rsidR="00664EC4">
        <w:rPr>
          <w:rFonts w:ascii="Verdana" w:hAnsi="Verdana" w:cs="Arial"/>
          <w:sz w:val="16"/>
          <w:szCs w:val="16"/>
        </w:rPr>
        <w:t>ra 18 #84-35, Bogotá D.C. En respuesta al radicado</w:t>
      </w:r>
      <w:r w:rsidR="00920CE4">
        <w:rPr>
          <w:rFonts w:ascii="Verdana" w:hAnsi="Verdana" w:cs="Arial"/>
          <w:sz w:val="16"/>
          <w:szCs w:val="16"/>
        </w:rPr>
        <w:t xml:space="preserve"> </w:t>
      </w:r>
      <w:r w:rsidR="002C3D31">
        <w:rPr>
          <w:rFonts w:ascii="Verdana" w:hAnsi="Verdana" w:cs="Arial"/>
          <w:sz w:val="16"/>
          <w:szCs w:val="16"/>
        </w:rPr>
        <w:t xml:space="preserve">SSPD </w:t>
      </w:r>
      <w:r w:rsidR="002C3D31" w:rsidRPr="002C3D31">
        <w:rPr>
          <w:rFonts w:ascii="Verdana" w:hAnsi="Verdana" w:cs="Arial"/>
          <w:sz w:val="16"/>
          <w:szCs w:val="16"/>
        </w:rPr>
        <w:t>20265292451652</w:t>
      </w:r>
      <w:r w:rsidR="002C3D31">
        <w:rPr>
          <w:rFonts w:ascii="Verdana" w:hAnsi="Verdana" w:cs="Arial"/>
          <w:sz w:val="16"/>
          <w:szCs w:val="16"/>
        </w:rPr>
        <w:t>.</w:t>
      </w:r>
      <w:r w:rsidR="00664EC4">
        <w:rPr>
          <w:rFonts w:ascii="Verdana" w:hAnsi="Verdana" w:cs="Arial"/>
          <w:sz w:val="16"/>
          <w:szCs w:val="16"/>
        </w:rPr>
        <w:t xml:space="preserve"> </w:t>
      </w:r>
    </w:p>
    <w:p w14:paraId="443A4ADD" w14:textId="0D705427" w:rsidR="0023251B" w:rsidRDefault="0023251B" w:rsidP="007D7D48">
      <w:pPr>
        <w:tabs>
          <w:tab w:val="left" w:pos="932"/>
        </w:tabs>
        <w:contextualSpacing/>
        <w:jc w:val="both"/>
        <w:rPr>
          <w:rFonts w:ascii="Verdana" w:hAnsi="Verdana" w:cs="Arial"/>
          <w:sz w:val="16"/>
          <w:szCs w:val="16"/>
        </w:rPr>
      </w:pPr>
      <w:r w:rsidRPr="0023251B">
        <w:rPr>
          <w:rFonts w:ascii="Verdana" w:hAnsi="Verdana" w:cs="Arial"/>
          <w:sz w:val="16"/>
          <w:szCs w:val="16"/>
        </w:rPr>
        <w:t>- Señor</w:t>
      </w:r>
      <w:r w:rsidR="00186BCF">
        <w:rPr>
          <w:rFonts w:ascii="Verdana" w:hAnsi="Verdana" w:cs="Arial"/>
          <w:sz w:val="16"/>
          <w:szCs w:val="16"/>
        </w:rPr>
        <w:t xml:space="preserve"> </w:t>
      </w:r>
      <w:r w:rsidR="00F97C20">
        <w:rPr>
          <w:rFonts w:ascii="Verdana" w:hAnsi="Verdana" w:cs="Arial"/>
          <w:sz w:val="16"/>
          <w:szCs w:val="16"/>
        </w:rPr>
        <w:t xml:space="preserve">Oscar </w:t>
      </w:r>
      <w:r w:rsidR="004B5DDB">
        <w:rPr>
          <w:rFonts w:ascii="Verdana" w:hAnsi="Verdana" w:cs="Arial"/>
          <w:sz w:val="16"/>
          <w:szCs w:val="16"/>
        </w:rPr>
        <w:t xml:space="preserve">Francisco </w:t>
      </w:r>
      <w:r w:rsidR="00C330AF">
        <w:rPr>
          <w:rFonts w:ascii="Verdana" w:hAnsi="Verdana" w:cs="Arial"/>
          <w:sz w:val="16"/>
          <w:szCs w:val="16"/>
        </w:rPr>
        <w:t xml:space="preserve">Puerta, </w:t>
      </w:r>
      <w:proofErr w:type="gramStart"/>
      <w:r w:rsidR="00C330AF">
        <w:rPr>
          <w:rFonts w:ascii="Verdana" w:hAnsi="Verdana" w:cs="Arial"/>
          <w:sz w:val="16"/>
          <w:szCs w:val="16"/>
        </w:rPr>
        <w:t>Director</w:t>
      </w:r>
      <w:proofErr w:type="gramEnd"/>
      <w:r w:rsidR="00C330AF">
        <w:rPr>
          <w:rFonts w:ascii="Verdana" w:hAnsi="Verdana" w:cs="Arial"/>
          <w:sz w:val="16"/>
          <w:szCs w:val="16"/>
        </w:rPr>
        <w:t xml:space="preserve"> de Gestión Integral de Recurso Hídrico</w:t>
      </w:r>
      <w:r w:rsidR="00A26A02">
        <w:rPr>
          <w:rFonts w:ascii="Verdana" w:hAnsi="Verdana" w:cs="Arial"/>
          <w:sz w:val="16"/>
          <w:szCs w:val="16"/>
        </w:rPr>
        <w:t xml:space="preserve">, </w:t>
      </w:r>
      <w:r w:rsidR="00680CBC">
        <w:rPr>
          <w:rFonts w:ascii="Verdana" w:hAnsi="Verdana" w:cs="Arial"/>
          <w:sz w:val="16"/>
          <w:szCs w:val="16"/>
        </w:rPr>
        <w:t xml:space="preserve">Ministerio de Ambiente </w:t>
      </w:r>
      <w:r w:rsidR="004B5DDB">
        <w:rPr>
          <w:rFonts w:ascii="Verdana" w:hAnsi="Verdana" w:cs="Arial"/>
          <w:sz w:val="16"/>
          <w:szCs w:val="16"/>
        </w:rPr>
        <w:t>y Desarrollo Sostenible;</w:t>
      </w:r>
      <w:r w:rsidR="00F43968">
        <w:rPr>
          <w:rFonts w:ascii="Verdana" w:hAnsi="Verdana" w:cs="Arial"/>
          <w:sz w:val="16"/>
          <w:szCs w:val="16"/>
        </w:rPr>
        <w:t xml:space="preserve"> </w:t>
      </w:r>
      <w:hyperlink r:id="rId17" w:history="1">
        <w:r w:rsidR="00B6105F" w:rsidRPr="009A3906">
          <w:rPr>
            <w:rStyle w:val="Hipervnculo"/>
            <w:rFonts w:ascii="Verdana" w:hAnsi="Verdana" w:cs="Arial"/>
            <w:sz w:val="16"/>
            <w:szCs w:val="16"/>
          </w:rPr>
          <w:t>info@minambiente.gov.co</w:t>
        </w:r>
      </w:hyperlink>
      <w:r w:rsidR="00B6105F">
        <w:rPr>
          <w:rFonts w:ascii="Verdana" w:hAnsi="Verdana" w:cs="Arial"/>
          <w:sz w:val="16"/>
          <w:szCs w:val="16"/>
        </w:rPr>
        <w:t xml:space="preserve"> y </w:t>
      </w:r>
      <w:hyperlink r:id="rId18" w:history="1">
        <w:r w:rsidR="00B02B98" w:rsidRPr="006566E5">
          <w:rPr>
            <w:rStyle w:val="Hipervnculo"/>
            <w:rFonts w:ascii="Verdana" w:hAnsi="Verdana" w:cs="Arial"/>
            <w:sz w:val="16"/>
            <w:szCs w:val="16"/>
          </w:rPr>
          <w:t>servicioalciudadano@minambiente.gov.co</w:t>
        </w:r>
      </w:hyperlink>
      <w:r w:rsidR="0053416C">
        <w:rPr>
          <w:rFonts w:ascii="Verdana" w:hAnsi="Verdana" w:cs="Arial"/>
          <w:sz w:val="16"/>
          <w:szCs w:val="16"/>
        </w:rPr>
        <w:t xml:space="preserve">; </w:t>
      </w:r>
      <w:r w:rsidR="0053416C" w:rsidRPr="0053416C">
        <w:rPr>
          <w:rFonts w:ascii="Verdana" w:hAnsi="Verdana" w:cs="Arial"/>
          <w:sz w:val="16"/>
          <w:szCs w:val="16"/>
        </w:rPr>
        <w:t>Calle 37 #8 - 40, Bogotá D.C.,</w:t>
      </w:r>
      <w:r w:rsidR="0053416C">
        <w:rPr>
          <w:rFonts w:ascii="Verdana" w:hAnsi="Verdana" w:cs="Arial"/>
          <w:sz w:val="16"/>
          <w:szCs w:val="16"/>
        </w:rPr>
        <w:t xml:space="preserve"> </w:t>
      </w:r>
      <w:r w:rsidR="0053416C" w:rsidRPr="0053416C">
        <w:rPr>
          <w:rFonts w:ascii="Verdana" w:hAnsi="Verdana" w:cs="Arial"/>
          <w:sz w:val="16"/>
          <w:szCs w:val="16"/>
        </w:rPr>
        <w:t>En respuesta al radicado</w:t>
      </w:r>
      <w:r w:rsidR="00E63CC9">
        <w:rPr>
          <w:rFonts w:ascii="Verdana" w:hAnsi="Verdana" w:cs="Arial"/>
          <w:sz w:val="16"/>
          <w:szCs w:val="16"/>
        </w:rPr>
        <w:t xml:space="preserve"> </w:t>
      </w:r>
      <w:r w:rsidR="008B597D">
        <w:rPr>
          <w:rFonts w:ascii="Verdana" w:hAnsi="Verdana" w:cs="Arial"/>
          <w:sz w:val="16"/>
          <w:szCs w:val="16"/>
        </w:rPr>
        <w:t>MADS</w:t>
      </w:r>
      <w:r w:rsidR="0053416C">
        <w:rPr>
          <w:rFonts w:ascii="Verdana" w:hAnsi="Verdana" w:cs="Arial"/>
          <w:sz w:val="16"/>
          <w:szCs w:val="16"/>
        </w:rPr>
        <w:t xml:space="preserve"> </w:t>
      </w:r>
      <w:r w:rsidR="008B597D" w:rsidRPr="008B597D">
        <w:rPr>
          <w:rFonts w:ascii="Verdana" w:hAnsi="Verdana" w:cs="Arial"/>
          <w:sz w:val="16"/>
          <w:szCs w:val="16"/>
        </w:rPr>
        <w:t>23002026E2022388.</w:t>
      </w:r>
    </w:p>
    <w:p w14:paraId="29A7E930" w14:textId="77777777" w:rsidR="0023251B" w:rsidRDefault="0023251B" w:rsidP="007D7D48">
      <w:pPr>
        <w:tabs>
          <w:tab w:val="left" w:pos="932"/>
        </w:tabs>
        <w:contextualSpacing/>
        <w:jc w:val="both"/>
        <w:rPr>
          <w:rFonts w:ascii="Verdana" w:hAnsi="Verdana" w:cs="Arial"/>
          <w:sz w:val="16"/>
          <w:szCs w:val="16"/>
        </w:rPr>
      </w:pPr>
    </w:p>
    <w:p w14:paraId="13A48B5C" w14:textId="77777777" w:rsidR="00E94F39" w:rsidRDefault="00E94F39" w:rsidP="000A16E8">
      <w:pPr>
        <w:tabs>
          <w:tab w:val="left" w:pos="932"/>
        </w:tabs>
        <w:contextualSpacing/>
        <w:jc w:val="both"/>
        <w:rPr>
          <w:rFonts w:ascii="Verdana" w:hAnsi="Verdana" w:cs="Arial"/>
          <w:sz w:val="16"/>
          <w:szCs w:val="16"/>
        </w:rPr>
      </w:pPr>
    </w:p>
    <w:p w14:paraId="41B1B311" w14:textId="6774C522" w:rsidR="00E94F39" w:rsidRDefault="00C3779D" w:rsidP="000A16E8">
      <w:pPr>
        <w:tabs>
          <w:tab w:val="left" w:pos="932"/>
        </w:tabs>
        <w:contextualSpacing/>
        <w:jc w:val="both"/>
        <w:rPr>
          <w:rFonts w:ascii="Verdana" w:hAnsi="Verdana" w:cs="Arial"/>
          <w:sz w:val="16"/>
          <w:szCs w:val="16"/>
        </w:rPr>
      </w:pPr>
      <w:r>
        <w:rPr>
          <w:rFonts w:ascii="Verdana" w:hAnsi="Verdana" w:cs="Arial"/>
          <w:sz w:val="16"/>
          <w:szCs w:val="16"/>
        </w:rPr>
        <w:t xml:space="preserve">Proyectó: </w:t>
      </w:r>
      <w:r w:rsidR="003D3A59">
        <w:rPr>
          <w:rFonts w:ascii="Verdana" w:hAnsi="Verdana" w:cs="Arial"/>
          <w:sz w:val="16"/>
          <w:szCs w:val="16"/>
        </w:rPr>
        <w:t xml:space="preserve">Brenda Vargas – Xiomara Puerto – Camilo Piña </w:t>
      </w:r>
      <w:r w:rsidR="00DE3F5C">
        <w:rPr>
          <w:rFonts w:ascii="Verdana" w:hAnsi="Verdana" w:cs="Arial"/>
          <w:sz w:val="16"/>
          <w:szCs w:val="16"/>
        </w:rPr>
        <w:t>–</w:t>
      </w:r>
      <w:r w:rsidR="003D3A59">
        <w:rPr>
          <w:rFonts w:ascii="Verdana" w:hAnsi="Verdana" w:cs="Arial"/>
          <w:sz w:val="16"/>
          <w:szCs w:val="16"/>
        </w:rPr>
        <w:t xml:space="preserve"> </w:t>
      </w:r>
      <w:r w:rsidR="0023251B">
        <w:rPr>
          <w:rFonts w:ascii="Verdana" w:hAnsi="Verdana" w:cs="Arial"/>
          <w:sz w:val="16"/>
          <w:szCs w:val="16"/>
        </w:rPr>
        <w:t xml:space="preserve">Manuel Ávila - </w:t>
      </w:r>
      <w:r w:rsidR="00DE3F5C">
        <w:rPr>
          <w:rFonts w:ascii="Verdana" w:hAnsi="Verdana" w:cs="Arial"/>
          <w:sz w:val="16"/>
          <w:szCs w:val="16"/>
        </w:rPr>
        <w:t>Marta Lucia López</w:t>
      </w:r>
      <w:r w:rsidR="00C00BF3">
        <w:rPr>
          <w:rFonts w:ascii="Verdana" w:hAnsi="Verdana" w:cs="Arial"/>
          <w:sz w:val="16"/>
          <w:szCs w:val="16"/>
        </w:rPr>
        <w:t>.</w:t>
      </w:r>
    </w:p>
    <w:p w14:paraId="45562F61" w14:textId="63AB61C5" w:rsidR="00A403F3" w:rsidRDefault="00DE3F5C" w:rsidP="000A16E8">
      <w:pPr>
        <w:tabs>
          <w:tab w:val="left" w:pos="932"/>
        </w:tabs>
        <w:contextualSpacing/>
        <w:jc w:val="both"/>
        <w:rPr>
          <w:rFonts w:ascii="Verdana" w:hAnsi="Verdana" w:cs="Arial"/>
          <w:sz w:val="16"/>
          <w:szCs w:val="16"/>
        </w:rPr>
      </w:pPr>
      <w:r>
        <w:rPr>
          <w:rFonts w:ascii="Verdana" w:hAnsi="Verdana" w:cs="Arial"/>
          <w:sz w:val="16"/>
          <w:szCs w:val="16"/>
        </w:rPr>
        <w:t>Revisó: Dalix Gutierrez</w:t>
      </w:r>
      <w:r w:rsidR="00060322">
        <w:rPr>
          <w:rFonts w:ascii="Verdana" w:hAnsi="Verdana" w:cs="Arial"/>
          <w:sz w:val="16"/>
          <w:szCs w:val="16"/>
        </w:rPr>
        <w:t xml:space="preserve"> Fuentes</w:t>
      </w:r>
      <w:r w:rsidR="00C00BF3">
        <w:rPr>
          <w:rFonts w:ascii="Verdana" w:hAnsi="Verdana" w:cs="Arial"/>
          <w:sz w:val="16"/>
          <w:szCs w:val="16"/>
        </w:rPr>
        <w:t>.</w:t>
      </w:r>
    </w:p>
    <w:p w14:paraId="00333E81" w14:textId="3C6F82F7" w:rsidR="00DE3F5C" w:rsidRDefault="00C00BF3" w:rsidP="000A16E8">
      <w:pPr>
        <w:tabs>
          <w:tab w:val="left" w:pos="932"/>
        </w:tabs>
        <w:contextualSpacing/>
        <w:jc w:val="both"/>
        <w:rPr>
          <w:rFonts w:ascii="Verdana" w:hAnsi="Verdana" w:cs="Arial"/>
          <w:sz w:val="16"/>
          <w:szCs w:val="16"/>
        </w:rPr>
      </w:pPr>
      <w:r>
        <w:rPr>
          <w:rFonts w:ascii="Verdana" w:hAnsi="Verdana" w:cs="Arial"/>
          <w:sz w:val="16"/>
          <w:szCs w:val="16"/>
        </w:rPr>
        <w:t xml:space="preserve">Aprobó: </w:t>
      </w:r>
      <w:r w:rsidR="00060322">
        <w:rPr>
          <w:rFonts w:ascii="Verdana" w:hAnsi="Verdana" w:cs="Arial"/>
          <w:sz w:val="16"/>
          <w:szCs w:val="16"/>
        </w:rPr>
        <w:t xml:space="preserve">Santiago </w:t>
      </w:r>
      <w:proofErr w:type="spellStart"/>
      <w:r w:rsidR="00060322">
        <w:rPr>
          <w:rFonts w:ascii="Verdana" w:hAnsi="Verdana" w:cs="Arial"/>
          <w:sz w:val="16"/>
          <w:szCs w:val="16"/>
        </w:rPr>
        <w:t>vargas</w:t>
      </w:r>
      <w:proofErr w:type="spellEnd"/>
      <w:r>
        <w:rPr>
          <w:rFonts w:ascii="Verdana" w:hAnsi="Verdana" w:cs="Arial"/>
          <w:sz w:val="16"/>
          <w:szCs w:val="16"/>
        </w:rPr>
        <w:t>.</w:t>
      </w:r>
    </w:p>
    <w:p w14:paraId="0BFEA9D1" w14:textId="77777777" w:rsidR="000E7C51" w:rsidRPr="0046260E" w:rsidRDefault="000E7C51" w:rsidP="000E7C51">
      <w:pPr>
        <w:contextualSpacing/>
        <w:rPr>
          <w:rFonts w:ascii="Verdana" w:eastAsia="Arial Unicode MS" w:hAnsi="Verdana" w:cs="Arial"/>
          <w:color w:val="000000" w:themeColor="text1"/>
          <w:kern w:val="3"/>
        </w:rPr>
      </w:pPr>
    </w:p>
    <w:sectPr w:rsidR="000E7C51" w:rsidRPr="0046260E" w:rsidSect="00F87808">
      <w:headerReference w:type="default" r:id="rId19"/>
      <w:footerReference w:type="default" r:id="rId20"/>
      <w:pgSz w:w="12240" w:h="15840"/>
      <w:pgMar w:top="2087" w:right="1418" w:bottom="1134" w:left="1418" w:header="4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1D522" w14:textId="77777777" w:rsidR="007070CF" w:rsidRDefault="007070CF">
      <w:r>
        <w:separator/>
      </w:r>
    </w:p>
  </w:endnote>
  <w:endnote w:type="continuationSeparator" w:id="0">
    <w:p w14:paraId="1B5B6E7B" w14:textId="77777777" w:rsidR="007070CF" w:rsidRDefault="0070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ode3of9">
    <w:altName w:val="Calibri"/>
    <w:panose1 w:val="00000000000000000000"/>
    <w:charset w:val="00"/>
    <w:family w:val="auto"/>
    <w:pitch w:val="variable"/>
    <w:sig w:usb0="00000003" w:usb1="00000000" w:usb2="00000000" w:usb3="00000000" w:csb0="00000001" w:csb1="00000000"/>
  </w:font>
  <w:font w:name="Free 3 of 9">
    <w:altName w:val="Calibri"/>
    <w:panose1 w:val="00000009000000000000"/>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AB3D" w14:textId="77777777" w:rsidR="00C0206F" w:rsidRDefault="00D111CA">
    <w:pPr>
      <w:pStyle w:val="Piedepgina"/>
      <w:snapToGrid w:val="0"/>
    </w:pPr>
    <w:r>
      <w:rPr>
        <w:rFonts w:ascii="Arial" w:hAnsi="Arial" w:cs="Arial"/>
        <w:noProof/>
        <w:sz w:val="16"/>
        <w:lang w:eastAsia="es-ES"/>
      </w:rPr>
      <mc:AlternateContent>
        <mc:Choice Requires="wps">
          <w:drawing>
            <wp:anchor distT="0" distB="0" distL="114300" distR="114300" simplePos="0" relativeHeight="251658240" behindDoc="0" locked="0" layoutInCell="1" allowOverlap="1" wp14:anchorId="0DF3DF8A" wp14:editId="5FD35D6A">
              <wp:simplePos x="0" y="0"/>
              <wp:positionH relativeFrom="column">
                <wp:posOffset>3705221</wp:posOffset>
              </wp:positionH>
              <wp:positionV relativeFrom="paragraph">
                <wp:posOffset>-913128</wp:posOffset>
              </wp:positionV>
              <wp:extent cx="631" cy="0"/>
              <wp:effectExtent l="0" t="0" r="0" b="0"/>
              <wp:wrapNone/>
              <wp:docPr id="3" name="AutoShape 16"/>
              <wp:cNvGraphicFramePr/>
              <a:graphic xmlns:a="http://schemas.openxmlformats.org/drawingml/2006/main">
                <a:graphicData uri="http://schemas.microsoft.com/office/word/2010/wordprocessingShape">
                  <wps:wsp>
                    <wps:cNvCnPr/>
                    <wps:spPr>
                      <a:xfrm>
                        <a:off x="0" y="0"/>
                        <a:ext cx="631" cy="0"/>
                      </a:xfrm>
                      <a:prstGeom prst="straightConnector1">
                        <a:avLst/>
                      </a:prstGeom>
                      <a:noFill/>
                      <a:ln w="9528">
                        <a:solidFill>
                          <a:srgbClr val="000000"/>
                        </a:solidFill>
                        <a:prstDash val="solid"/>
                        <a:round/>
                      </a:ln>
                    </wps:spPr>
                    <wps:bodyPr/>
                  </wps:wsp>
                </a:graphicData>
              </a:graphic>
            </wp:anchor>
          </w:drawing>
        </mc:Choice>
        <mc:Fallback>
          <w:pict>
            <v:shapetype w14:anchorId="49CC8E5A" id="_x0000_t32" coordsize="21600,21600" o:spt="32" o:oned="t" path="m,l21600,21600e" filled="f">
              <v:path arrowok="t" fillok="f" o:connecttype="none"/>
              <o:lock v:ext="edit" shapetype="t"/>
            </v:shapetype>
            <v:shape id="AutoShape 16" o:spid="_x0000_s1026" type="#_x0000_t32" style="position:absolute;margin-left:291.75pt;margin-top:-71.9pt;width:.0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" strokeweight=".26467mm"/>
          </w:pict>
        </mc:Fallback>
      </mc:AlternateContent>
    </w:r>
    <w:r>
      <w:rPr>
        <w:rFonts w:ascii="Arial" w:hAnsi="Arial" w:cs="Arial"/>
        <w:sz w:val="16"/>
      </w:rPr>
      <w:t>________________________________________________________________________________</w:t>
    </w:r>
    <w:r w:rsidR="009666D1">
      <w:rPr>
        <w:rFonts w:ascii="Arial" w:hAnsi="Arial" w:cs="Arial"/>
        <w:sz w:val="16"/>
      </w:rPr>
      <w:t>_________________________</w:t>
    </w:r>
  </w:p>
  <w:p w14:paraId="3A102A36" w14:textId="77777777" w:rsidR="0065088C" w:rsidRPr="00EE72FF" w:rsidRDefault="0065088C" w:rsidP="0065088C">
    <w:pPr>
      <w:spacing w:line="276" w:lineRule="auto"/>
      <w:jc w:val="both"/>
      <w:rPr>
        <w:rFonts w:ascii="Verdana" w:hAnsi="Verdana"/>
        <w:b/>
        <w:bCs/>
        <w:sz w:val="20"/>
        <w:szCs w:val="20"/>
      </w:rPr>
    </w:pPr>
    <w:r>
      <w:rPr>
        <w:rFonts w:ascii="Verdana" w:hAnsi="Verdana"/>
        <w:b/>
        <w:bCs/>
        <w:sz w:val="20"/>
        <w:szCs w:val="20"/>
      </w:rPr>
      <w:t>Comisión de Regulación de Agua Potable y Saneamiento Básico</w:t>
    </w:r>
  </w:p>
  <w:p w14:paraId="19303F86" w14:textId="190F15F2" w:rsidR="0065088C" w:rsidRPr="00EE72FF" w:rsidRDefault="0065088C" w:rsidP="0065088C">
    <w:pPr>
      <w:spacing w:line="276" w:lineRule="auto"/>
      <w:jc w:val="both"/>
      <w:rPr>
        <w:rFonts w:ascii="Verdana" w:hAnsi="Verdana"/>
        <w:sz w:val="20"/>
        <w:szCs w:val="20"/>
      </w:rPr>
    </w:pPr>
    <w:r w:rsidRPr="00EE72FF">
      <w:rPr>
        <w:rFonts w:ascii="Verdana" w:hAnsi="Verdana"/>
        <w:sz w:val="20"/>
        <w:szCs w:val="20"/>
      </w:rPr>
      <w:t xml:space="preserve">Dirección: Carrera </w:t>
    </w:r>
    <w:r>
      <w:rPr>
        <w:rFonts w:ascii="Verdana" w:hAnsi="Verdana"/>
        <w:sz w:val="20"/>
        <w:szCs w:val="20"/>
      </w:rPr>
      <w:t>12</w:t>
    </w:r>
    <w:r w:rsidRPr="00EE72FF">
      <w:rPr>
        <w:rFonts w:ascii="Verdana" w:hAnsi="Verdana"/>
        <w:sz w:val="20"/>
        <w:szCs w:val="20"/>
      </w:rPr>
      <w:t xml:space="preserve"> No.</w:t>
    </w:r>
    <w:r>
      <w:rPr>
        <w:rFonts w:ascii="Verdana" w:hAnsi="Verdana"/>
        <w:sz w:val="20"/>
        <w:szCs w:val="20"/>
      </w:rPr>
      <w:t>9</w:t>
    </w:r>
    <w:r w:rsidRPr="00EE72FF">
      <w:rPr>
        <w:rFonts w:ascii="Verdana" w:hAnsi="Verdana"/>
        <w:sz w:val="20"/>
        <w:szCs w:val="20"/>
      </w:rPr>
      <w:t xml:space="preserve">7 </w:t>
    </w:r>
    <w:r>
      <w:rPr>
        <w:rFonts w:ascii="Verdana" w:hAnsi="Verdana"/>
        <w:sz w:val="20"/>
        <w:szCs w:val="20"/>
      </w:rPr>
      <w:t>– 80</w:t>
    </w:r>
    <w:r w:rsidR="008F516C">
      <w:rPr>
        <w:rFonts w:ascii="Verdana" w:hAnsi="Verdana"/>
        <w:sz w:val="20"/>
        <w:szCs w:val="20"/>
      </w:rPr>
      <w:t>,</w:t>
    </w:r>
    <w:r>
      <w:rPr>
        <w:rFonts w:ascii="Verdana" w:hAnsi="Verdana"/>
        <w:sz w:val="20"/>
        <w:szCs w:val="20"/>
      </w:rPr>
      <w:t xml:space="preserve"> piso 2</w:t>
    </w:r>
    <w:r w:rsidR="008F516C">
      <w:rPr>
        <w:rFonts w:ascii="Verdana" w:hAnsi="Verdana"/>
        <w:sz w:val="20"/>
        <w:szCs w:val="20"/>
      </w:rPr>
      <w:t>.</w:t>
    </w:r>
    <w:r w:rsidRPr="00EE72FF">
      <w:rPr>
        <w:rFonts w:ascii="Verdana" w:hAnsi="Verdana"/>
        <w:sz w:val="20"/>
        <w:szCs w:val="20"/>
      </w:rPr>
      <w:t xml:space="preserve"> Bogotá</w:t>
    </w:r>
    <w:r w:rsidR="00597EDE">
      <w:rPr>
        <w:rFonts w:ascii="Verdana" w:hAnsi="Verdana"/>
        <w:sz w:val="20"/>
        <w:szCs w:val="20"/>
      </w:rPr>
      <w:t>,</w:t>
    </w:r>
    <w:r w:rsidRPr="00EE72FF">
      <w:rPr>
        <w:rFonts w:ascii="Verdana" w:hAnsi="Verdana"/>
        <w:sz w:val="20"/>
        <w:szCs w:val="20"/>
      </w:rPr>
      <w:t xml:space="preserve"> D.C., Colombia</w:t>
    </w:r>
  </w:p>
  <w:p w14:paraId="3A3DED22" w14:textId="7CA6B0DA" w:rsidR="0065088C" w:rsidRDefault="0065088C" w:rsidP="0065088C">
    <w:pPr>
      <w:spacing w:line="276" w:lineRule="auto"/>
      <w:jc w:val="both"/>
      <w:rPr>
        <w:rFonts w:ascii="Verdana" w:hAnsi="Verdana"/>
        <w:sz w:val="20"/>
        <w:szCs w:val="20"/>
      </w:rPr>
    </w:pPr>
    <w:r w:rsidRPr="00EE72FF">
      <w:rPr>
        <w:rFonts w:ascii="Verdana" w:hAnsi="Verdana"/>
        <w:sz w:val="20"/>
        <w:szCs w:val="20"/>
      </w:rPr>
      <w:t xml:space="preserve">Conmutador: (+57) 601 </w:t>
    </w:r>
    <w:r>
      <w:rPr>
        <w:rFonts w:ascii="Verdana" w:hAnsi="Verdana"/>
        <w:sz w:val="20"/>
        <w:szCs w:val="20"/>
      </w:rPr>
      <w:t>4873</w:t>
    </w:r>
    <w:r w:rsidR="00F55E1D">
      <w:rPr>
        <w:rFonts w:ascii="Verdana" w:hAnsi="Verdana"/>
        <w:sz w:val="20"/>
        <w:szCs w:val="20"/>
      </w:rPr>
      <w:t>8</w:t>
    </w:r>
    <w:r>
      <w:rPr>
        <w:rFonts w:ascii="Verdana" w:hAnsi="Verdana"/>
        <w:sz w:val="20"/>
        <w:szCs w:val="20"/>
      </w:rPr>
      <w:t>20</w:t>
    </w:r>
    <w:r w:rsidR="00D67B70">
      <w:rPr>
        <w:rFonts w:ascii="Verdana" w:hAnsi="Verdana"/>
        <w:sz w:val="20"/>
        <w:szCs w:val="20"/>
      </w:rPr>
      <w:t xml:space="preserve"> - </w:t>
    </w:r>
    <w:r w:rsidRPr="00EE72FF">
      <w:rPr>
        <w:rFonts w:ascii="Verdana" w:hAnsi="Verdana"/>
        <w:sz w:val="20"/>
        <w:szCs w:val="20"/>
      </w:rPr>
      <w:t xml:space="preserve">Línea Gratuita: (+57) 01 8000 </w:t>
    </w:r>
    <w:r>
      <w:rPr>
        <w:rFonts w:ascii="Verdana" w:hAnsi="Verdana"/>
        <w:sz w:val="20"/>
        <w:szCs w:val="20"/>
      </w:rPr>
      <w:t>517565</w:t>
    </w:r>
  </w:p>
  <w:p w14:paraId="3F31B6FC" w14:textId="77777777" w:rsidR="00D67B70" w:rsidRPr="00D67B70" w:rsidRDefault="00D67B70" w:rsidP="00D67B70">
    <w:pPr>
      <w:spacing w:line="276" w:lineRule="auto"/>
      <w:jc w:val="both"/>
      <w:rPr>
        <w:rFonts w:ascii="Verdana" w:hAnsi="Verdana"/>
        <w:sz w:val="20"/>
        <w:szCs w:val="20"/>
      </w:rPr>
    </w:pPr>
    <w:r w:rsidRPr="00D67B70">
      <w:rPr>
        <w:rFonts w:ascii="Verdana" w:hAnsi="Verdana"/>
        <w:color w:val="000000"/>
        <w:sz w:val="20"/>
        <w:szCs w:val="20"/>
      </w:rPr>
      <w:t>correo@cra.gov.co - www.cra.gov.co</w:t>
    </w:r>
  </w:p>
  <w:p w14:paraId="53DB9480" w14:textId="77777777" w:rsidR="00D67B70" w:rsidRPr="00EE72FF" w:rsidRDefault="00D67B70" w:rsidP="0065088C">
    <w:pPr>
      <w:spacing w:line="276" w:lineRule="auto"/>
      <w:jc w:val="both"/>
      <w:rPr>
        <w:rFonts w:ascii="Verdana" w:hAnsi="Verdana"/>
        <w:sz w:val="20"/>
        <w:szCs w:val="20"/>
      </w:rPr>
    </w:pPr>
  </w:p>
  <w:p w14:paraId="7E434A12" w14:textId="77777777" w:rsidR="00C0206F" w:rsidRDefault="00C0206F">
    <w:pPr>
      <w:ind w:right="260"/>
      <w:rPr>
        <w:color w:val="0F243E"/>
        <w:sz w:val="26"/>
        <w:szCs w:val="26"/>
      </w:rPr>
    </w:pPr>
  </w:p>
  <w:p w14:paraId="767D9483" w14:textId="77777777" w:rsidR="00C0206F" w:rsidRDefault="00C0206F">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50C4C" w14:textId="77777777" w:rsidR="007070CF" w:rsidRDefault="007070CF">
      <w:r>
        <w:rPr>
          <w:color w:val="000000"/>
        </w:rPr>
        <w:separator/>
      </w:r>
    </w:p>
  </w:footnote>
  <w:footnote w:type="continuationSeparator" w:id="0">
    <w:p w14:paraId="5D8672A1" w14:textId="77777777" w:rsidR="007070CF" w:rsidRDefault="007070CF">
      <w:r>
        <w:continuationSeparator/>
      </w:r>
    </w:p>
  </w:footnote>
  <w:footnote w:id="1">
    <w:p w14:paraId="1657282E" w14:textId="75370C87" w:rsidR="00AB3C70" w:rsidRPr="003B33FD" w:rsidRDefault="00AB3C70" w:rsidP="00AB3C70">
      <w:pPr>
        <w:pStyle w:val="Textonotapie"/>
        <w:jc w:val="both"/>
        <w:rPr>
          <w:rFonts w:ascii="Verdana" w:hAnsi="Verdana"/>
          <w:i/>
          <w:iCs/>
          <w:sz w:val="16"/>
          <w:szCs w:val="16"/>
        </w:rPr>
      </w:pPr>
      <w:r w:rsidRPr="003B33FD">
        <w:rPr>
          <w:rStyle w:val="Refdenotaalpie"/>
          <w:rFonts w:ascii="Verdana" w:hAnsi="Verdana"/>
          <w:i/>
          <w:iCs/>
          <w:sz w:val="16"/>
          <w:szCs w:val="16"/>
        </w:rPr>
        <w:footnoteRef/>
      </w:r>
      <w:r w:rsidRPr="003B33FD">
        <w:rPr>
          <w:rFonts w:ascii="Verdana" w:hAnsi="Verdana"/>
          <w:i/>
          <w:iCs/>
          <w:sz w:val="16"/>
          <w:szCs w:val="16"/>
        </w:rPr>
        <w:t xml:space="preserve"> Sustituido por el artículo 1 de la Ley 1755 de 2015 “Por medio de la cual se regula el derecho fundamental de petición y se sustituye un título del Código de Procedimiento Administrativo y de los Contencioso Administrativo.”</w:t>
      </w:r>
    </w:p>
  </w:footnote>
  <w:footnote w:id="2">
    <w:p w14:paraId="2388D494" w14:textId="6620609A" w:rsidR="00AB7660" w:rsidRPr="00AB7660" w:rsidRDefault="00AB7660">
      <w:pPr>
        <w:pStyle w:val="Textonotapie"/>
        <w:rPr>
          <w:rFonts w:ascii="Verdana" w:hAnsi="Verdana"/>
          <w:sz w:val="16"/>
          <w:szCs w:val="16"/>
        </w:rPr>
      </w:pPr>
      <w:r w:rsidRPr="00AB7660">
        <w:rPr>
          <w:rStyle w:val="Refdenotaalpie"/>
          <w:rFonts w:ascii="Verdana" w:hAnsi="Verdana"/>
          <w:sz w:val="16"/>
          <w:szCs w:val="16"/>
        </w:rPr>
        <w:footnoteRef/>
      </w:r>
      <w:r w:rsidRPr="00AB7660">
        <w:rPr>
          <w:rFonts w:ascii="Verdana" w:hAnsi="Verdana"/>
          <w:sz w:val="16"/>
          <w:szCs w:val="16"/>
        </w:rPr>
        <w:t xml:space="preserve"> </w:t>
      </w:r>
      <w:r>
        <w:rPr>
          <w:rFonts w:ascii="Verdana" w:hAnsi="Verdana"/>
          <w:sz w:val="16"/>
          <w:szCs w:val="16"/>
        </w:rPr>
        <w:t>M</w:t>
      </w:r>
      <w:r w:rsidRPr="00AB7660">
        <w:rPr>
          <w:rFonts w:ascii="Verdana" w:hAnsi="Verdana"/>
          <w:sz w:val="16"/>
          <w:szCs w:val="16"/>
        </w:rPr>
        <w:t>odificado por el artículo 21 de la</w:t>
      </w:r>
      <w:r w:rsidRPr="00AB7660">
        <w:rPr>
          <w:rFonts w:ascii="Verdana" w:hAnsi="Verdana"/>
          <w:sz w:val="16"/>
          <w:szCs w:val="16"/>
        </w:rPr>
        <w:t xml:space="preserve"> </w:t>
      </w:r>
      <w:r w:rsidRPr="00AB7660">
        <w:rPr>
          <w:rFonts w:ascii="Verdana" w:hAnsi="Verdana"/>
          <w:sz w:val="16"/>
          <w:szCs w:val="16"/>
        </w:rPr>
        <w:t>Ley 2466 de 2025</w:t>
      </w:r>
      <w:r>
        <w:rPr>
          <w:rFonts w:ascii="Verdana" w:hAnsi="Verdan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808A" w14:textId="2CC79537" w:rsidR="00C0206F" w:rsidRDefault="00C0206F">
    <w:pPr>
      <w:pStyle w:val="Encabezado"/>
    </w:pPr>
  </w:p>
  <w:p w14:paraId="76BFD59E" w14:textId="65493B31" w:rsidR="00C0206F" w:rsidRDefault="00C0206F">
    <w:pPr>
      <w:pStyle w:val="Encabezado"/>
    </w:pPr>
  </w:p>
  <w:p w14:paraId="3873040A" w14:textId="3871242D" w:rsidR="00C0206F" w:rsidRDefault="00C0206F">
    <w:pPr>
      <w:pStyle w:val="Encabezado"/>
    </w:pPr>
  </w:p>
  <w:p w14:paraId="2F6EC4EE" w14:textId="7CC624D6" w:rsidR="00C0206F" w:rsidRDefault="00D111CA">
    <w:r>
      <w:tab/>
    </w:r>
  </w:p>
  <w:p w14:paraId="4785BB5F" w14:textId="46A4402F" w:rsidR="00C0206F" w:rsidRDefault="004C2138">
    <w:pPr>
      <w:pStyle w:val="Textoindependiente"/>
      <w:jc w:val="center"/>
      <w:rPr>
        <w:b/>
        <w:sz w:val="20"/>
        <w:szCs w:val="20"/>
        <w:lang w:val="en-US"/>
      </w:rPr>
    </w:pPr>
    <w:r>
      <w:rPr>
        <w:b/>
        <w:noProof/>
        <w:sz w:val="20"/>
        <w:szCs w:val="20"/>
        <w:lang w:val="en-US"/>
      </w:rPr>
      <w:drawing>
        <wp:anchor distT="0" distB="0" distL="114300" distR="114300" simplePos="0" relativeHeight="251658241" behindDoc="0" locked="0" layoutInCell="1" allowOverlap="1" wp14:anchorId="468639D8" wp14:editId="0C4CB788">
          <wp:simplePos x="0" y="0"/>
          <wp:positionH relativeFrom="margin">
            <wp:align>center</wp:align>
          </wp:positionH>
          <wp:positionV relativeFrom="paragraph">
            <wp:posOffset>5715</wp:posOffset>
          </wp:positionV>
          <wp:extent cx="479606" cy="694602"/>
          <wp:effectExtent l="0" t="0" r="0" b="0"/>
          <wp:wrapNone/>
          <wp:docPr id="156116169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36930" name="Imagen 1163336930"/>
                  <pic:cNvPicPr/>
                </pic:nvPicPr>
                <pic:blipFill>
                  <a:blip r:embed="rId1">
                    <a:extLst>
                      <a:ext uri="{28A0092B-C50C-407E-A947-70E740481C1C}">
                        <a14:useLocalDpi xmlns:a14="http://schemas.microsoft.com/office/drawing/2010/main" val="0"/>
                      </a:ext>
                    </a:extLst>
                  </a:blip>
                  <a:stretch>
                    <a:fillRect/>
                  </a:stretch>
                </pic:blipFill>
                <pic:spPr>
                  <a:xfrm>
                    <a:off x="0" y="0"/>
                    <a:ext cx="479606" cy="694602"/>
                  </a:xfrm>
                  <a:prstGeom prst="rect">
                    <a:avLst/>
                  </a:prstGeom>
                </pic:spPr>
              </pic:pic>
            </a:graphicData>
          </a:graphic>
          <wp14:sizeRelH relativeFrom="page">
            <wp14:pctWidth>0</wp14:pctWidth>
          </wp14:sizeRelH>
          <wp14:sizeRelV relativeFrom="page">
            <wp14:pctHeight>0</wp14:pctHeight>
          </wp14:sizeRelV>
        </wp:anchor>
      </w:drawing>
    </w:r>
  </w:p>
  <w:p w14:paraId="64BB8258" w14:textId="77777777" w:rsidR="00E25BFE" w:rsidRPr="00610E72" w:rsidRDefault="00A55ABF" w:rsidP="00E25BFE">
    <w:pPr>
      <w:pStyle w:val="Textoindependiente"/>
      <w:tabs>
        <w:tab w:val="left" w:pos="2761"/>
        <w:tab w:val="right" w:pos="9972"/>
      </w:tabs>
      <w:jc w:val="left"/>
      <w:rPr>
        <w:rFonts w:ascii="Code3of9" w:hAnsi="Code3of9"/>
        <w:sz w:val="40"/>
        <w:lang w:val="pt-PT"/>
      </w:rPr>
    </w:pPr>
    <w:r>
      <w:rPr>
        <w:rFonts w:ascii="Verdana" w:hAnsi="Verdana"/>
        <w:sz w:val="40"/>
        <w:szCs w:val="40"/>
      </w:rPr>
      <w:tab/>
    </w:r>
    <w:r>
      <w:rPr>
        <w:rFonts w:ascii="Verdana" w:hAnsi="Verdana"/>
        <w:sz w:val="40"/>
        <w:szCs w:val="40"/>
      </w:rPr>
      <w:tab/>
    </w:r>
    <w:r w:rsidR="00E25BFE" w:rsidRPr="00610E72">
      <w:rPr>
        <w:rFonts w:ascii="Free 3 of 9" w:hAnsi="Free 3 of 9"/>
        <w:sz w:val="52"/>
        <w:szCs w:val="32"/>
        <w:lang w:val="pt-PT"/>
      </w:rPr>
      <w:t>**RAD_S**</w:t>
    </w:r>
  </w:p>
  <w:p w14:paraId="08845D96" w14:textId="77777777" w:rsidR="00E25BFE" w:rsidRPr="00610E72" w:rsidRDefault="00E25BFE" w:rsidP="00E25BFE">
    <w:pPr>
      <w:pStyle w:val="Textoindependiente"/>
      <w:ind w:left="708" w:firstLine="708"/>
      <w:jc w:val="right"/>
      <w:rPr>
        <w:rFonts w:ascii="Verdana" w:hAnsi="Verdana"/>
        <w:b/>
        <w:lang w:val="pt-PT"/>
      </w:rPr>
    </w:pPr>
    <w:r w:rsidRPr="00610E72">
      <w:rPr>
        <w:rFonts w:ascii="Verdana" w:hAnsi="Verdana"/>
        <w:b/>
        <w:lang w:val="pt-PT"/>
      </w:rPr>
      <w:t>Para contestar cite:</w:t>
    </w:r>
  </w:p>
  <w:p w14:paraId="59070162" w14:textId="77777777" w:rsidR="00E25BFE" w:rsidRPr="00610E72" w:rsidRDefault="00E25BFE" w:rsidP="00E25BFE">
    <w:pPr>
      <w:pStyle w:val="Textoindependiente"/>
      <w:jc w:val="right"/>
      <w:rPr>
        <w:rFonts w:ascii="Verdana" w:hAnsi="Verdana"/>
        <w:lang w:val="pt-PT"/>
      </w:rPr>
    </w:pPr>
    <w:r w:rsidRPr="00610E72">
      <w:rPr>
        <w:rFonts w:ascii="Verdana" w:hAnsi="Verdana"/>
        <w:lang w:val="pt-PT"/>
      </w:rPr>
      <w:t xml:space="preserve">Radicado CRA N°: </w:t>
    </w:r>
    <w:r w:rsidRPr="00610E72">
      <w:rPr>
        <w:rFonts w:ascii="Verdana" w:hAnsi="Verdana"/>
        <w:b/>
        <w:lang w:val="pt-PT"/>
      </w:rPr>
      <w:t>*RAD_S*</w:t>
    </w:r>
  </w:p>
  <w:p w14:paraId="7CCCE7C9" w14:textId="77777777" w:rsidR="00E25BFE" w:rsidRPr="00E25BFE" w:rsidRDefault="00E25BFE" w:rsidP="00E25BFE">
    <w:pPr>
      <w:pStyle w:val="Textoindependiente"/>
      <w:jc w:val="right"/>
      <w:rPr>
        <w:rFonts w:ascii="Verdana" w:hAnsi="Verdana"/>
      </w:rPr>
    </w:pPr>
    <w:r w:rsidRPr="00E25BFE">
      <w:rPr>
        <w:rFonts w:ascii="Verdana" w:hAnsi="Verdana"/>
      </w:rPr>
      <w:t>Fecha:</w:t>
    </w:r>
    <w:r w:rsidRPr="00E25BFE">
      <w:rPr>
        <w:rFonts w:ascii="Verdana" w:hAnsi="Verdana"/>
        <w:b/>
      </w:rPr>
      <w:t xml:space="preserve"> *F_RAD_S*</w:t>
    </w:r>
  </w:p>
  <w:p w14:paraId="27840DE0" w14:textId="5BE50C65" w:rsidR="004C2138" w:rsidRPr="00F55E1D" w:rsidRDefault="00D111CA" w:rsidP="00E25BFE">
    <w:pPr>
      <w:widowControl w:val="0"/>
      <w:tabs>
        <w:tab w:val="left" w:pos="2761"/>
        <w:tab w:val="right" w:pos="9972"/>
      </w:tabs>
      <w:rPr>
        <w:lang w:val="en-US"/>
      </w:rPr>
    </w:pPr>
    <w:r>
      <w:rPr>
        <w:b/>
        <w:sz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F7B"/>
    <w:multiLevelType w:val="hybridMultilevel"/>
    <w:tmpl w:val="B3A40E64"/>
    <w:lvl w:ilvl="0" w:tplc="3824497E">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C33C01"/>
    <w:multiLevelType w:val="hybridMultilevel"/>
    <w:tmpl w:val="BB7ABAE0"/>
    <w:lvl w:ilvl="0" w:tplc="96E07C16">
      <w:start w:val="1"/>
      <w:numFmt w:val="decimal"/>
      <w:lvlText w:val="%1."/>
      <w:lvlJc w:val="left"/>
      <w:pPr>
        <w:ind w:left="720" w:hanging="360"/>
      </w:pPr>
      <w:rPr>
        <w:rFonts w:ascii="Verdana" w:eastAsia="Verdana" w:hAnsi="Verdana" w:cs="Verdana"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CA86E6D"/>
    <w:multiLevelType w:val="hybridMultilevel"/>
    <w:tmpl w:val="7C228A20"/>
    <w:lvl w:ilvl="0" w:tplc="240A0017">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ADE1052"/>
    <w:multiLevelType w:val="hybridMultilevel"/>
    <w:tmpl w:val="E4D08C0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D6D512F"/>
    <w:multiLevelType w:val="hybridMultilevel"/>
    <w:tmpl w:val="50A8AE2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CD7C8B"/>
    <w:multiLevelType w:val="hybridMultilevel"/>
    <w:tmpl w:val="B0E6DE12"/>
    <w:lvl w:ilvl="0" w:tplc="16F881D8">
      <w:start w:val="1"/>
      <w:numFmt w:val="lowerLetter"/>
      <w:lvlText w:val="%1."/>
      <w:lvlJc w:val="left"/>
      <w:pPr>
        <w:ind w:left="1080" w:hanging="72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1086447"/>
    <w:multiLevelType w:val="hybridMultilevel"/>
    <w:tmpl w:val="C23037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BE03C83"/>
    <w:multiLevelType w:val="hybridMultilevel"/>
    <w:tmpl w:val="5718C110"/>
    <w:lvl w:ilvl="0" w:tplc="0CF0BC60">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E9506A7"/>
    <w:multiLevelType w:val="multilevel"/>
    <w:tmpl w:val="B4DCE8E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78716334"/>
    <w:multiLevelType w:val="hybridMultilevel"/>
    <w:tmpl w:val="67A6D50E"/>
    <w:lvl w:ilvl="0" w:tplc="686C501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72020057">
    <w:abstractNumId w:val="4"/>
  </w:num>
  <w:num w:numId="2" w16cid:durableId="717046578">
    <w:abstractNumId w:val="0"/>
  </w:num>
  <w:num w:numId="3" w16cid:durableId="1424645923">
    <w:abstractNumId w:val="7"/>
  </w:num>
  <w:num w:numId="4" w16cid:durableId="642780166">
    <w:abstractNumId w:val="3"/>
  </w:num>
  <w:num w:numId="5" w16cid:durableId="1866096739">
    <w:abstractNumId w:val="2"/>
  </w:num>
  <w:num w:numId="6" w16cid:durableId="2011254335">
    <w:abstractNumId w:val="5"/>
  </w:num>
  <w:num w:numId="7" w16cid:durableId="1203521669">
    <w:abstractNumId w:val="1"/>
  </w:num>
  <w:num w:numId="8" w16cid:durableId="905383534">
    <w:abstractNumId w:val="9"/>
  </w:num>
  <w:num w:numId="9" w16cid:durableId="481893981">
    <w:abstractNumId w:val="8"/>
  </w:num>
  <w:num w:numId="10" w16cid:durableId="12640248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D28"/>
    <w:rsid w:val="00000BAF"/>
    <w:rsid w:val="0000114C"/>
    <w:rsid w:val="00001880"/>
    <w:rsid w:val="00001F56"/>
    <w:rsid w:val="00002896"/>
    <w:rsid w:val="00003602"/>
    <w:rsid w:val="0000700C"/>
    <w:rsid w:val="00010018"/>
    <w:rsid w:val="000100D4"/>
    <w:rsid w:val="00010B87"/>
    <w:rsid w:val="00010E7E"/>
    <w:rsid w:val="00011858"/>
    <w:rsid w:val="000144F7"/>
    <w:rsid w:val="000157E7"/>
    <w:rsid w:val="00015F22"/>
    <w:rsid w:val="000162AB"/>
    <w:rsid w:val="00016649"/>
    <w:rsid w:val="000178CB"/>
    <w:rsid w:val="0002057B"/>
    <w:rsid w:val="000217CF"/>
    <w:rsid w:val="0002318D"/>
    <w:rsid w:val="00023BAF"/>
    <w:rsid w:val="00025F98"/>
    <w:rsid w:val="00035E00"/>
    <w:rsid w:val="00036837"/>
    <w:rsid w:val="00036FD2"/>
    <w:rsid w:val="00037994"/>
    <w:rsid w:val="00040F72"/>
    <w:rsid w:val="00042C2C"/>
    <w:rsid w:val="00043A6E"/>
    <w:rsid w:val="00044B10"/>
    <w:rsid w:val="00046010"/>
    <w:rsid w:val="00046780"/>
    <w:rsid w:val="00046C35"/>
    <w:rsid w:val="00047A69"/>
    <w:rsid w:val="00050C50"/>
    <w:rsid w:val="000529ED"/>
    <w:rsid w:val="00055A4D"/>
    <w:rsid w:val="00056640"/>
    <w:rsid w:val="000576BC"/>
    <w:rsid w:val="00060322"/>
    <w:rsid w:val="00061C3F"/>
    <w:rsid w:val="00061D26"/>
    <w:rsid w:val="00065145"/>
    <w:rsid w:val="0006616B"/>
    <w:rsid w:val="000662B8"/>
    <w:rsid w:val="00072EDB"/>
    <w:rsid w:val="00075A88"/>
    <w:rsid w:val="00082BBE"/>
    <w:rsid w:val="00084025"/>
    <w:rsid w:val="000845F8"/>
    <w:rsid w:val="000869BD"/>
    <w:rsid w:val="00086B32"/>
    <w:rsid w:val="000873CA"/>
    <w:rsid w:val="000904C3"/>
    <w:rsid w:val="00095180"/>
    <w:rsid w:val="000952BC"/>
    <w:rsid w:val="00095AF4"/>
    <w:rsid w:val="00096796"/>
    <w:rsid w:val="000A152D"/>
    <w:rsid w:val="000A16E8"/>
    <w:rsid w:val="000A1B11"/>
    <w:rsid w:val="000A223F"/>
    <w:rsid w:val="000A3C23"/>
    <w:rsid w:val="000A4782"/>
    <w:rsid w:val="000A5FF0"/>
    <w:rsid w:val="000A74A0"/>
    <w:rsid w:val="000B1356"/>
    <w:rsid w:val="000B1F0C"/>
    <w:rsid w:val="000B206B"/>
    <w:rsid w:val="000B2A9B"/>
    <w:rsid w:val="000B2D7A"/>
    <w:rsid w:val="000B4D6B"/>
    <w:rsid w:val="000B56B3"/>
    <w:rsid w:val="000B6C60"/>
    <w:rsid w:val="000C01FD"/>
    <w:rsid w:val="000C437A"/>
    <w:rsid w:val="000C5DDF"/>
    <w:rsid w:val="000C6234"/>
    <w:rsid w:val="000C77B8"/>
    <w:rsid w:val="000C7B67"/>
    <w:rsid w:val="000D1EDF"/>
    <w:rsid w:val="000D58B3"/>
    <w:rsid w:val="000D5CCC"/>
    <w:rsid w:val="000D6C9B"/>
    <w:rsid w:val="000E1317"/>
    <w:rsid w:val="000E1A71"/>
    <w:rsid w:val="000E3946"/>
    <w:rsid w:val="000E3E94"/>
    <w:rsid w:val="000E7C51"/>
    <w:rsid w:val="000F4535"/>
    <w:rsid w:val="000F696B"/>
    <w:rsid w:val="00101B6E"/>
    <w:rsid w:val="001049AC"/>
    <w:rsid w:val="00105545"/>
    <w:rsid w:val="001061A1"/>
    <w:rsid w:val="00107D0B"/>
    <w:rsid w:val="001156C6"/>
    <w:rsid w:val="001178FD"/>
    <w:rsid w:val="00121520"/>
    <w:rsid w:val="00124EB3"/>
    <w:rsid w:val="0012560C"/>
    <w:rsid w:val="001269E9"/>
    <w:rsid w:val="001328E6"/>
    <w:rsid w:val="001329BB"/>
    <w:rsid w:val="001333F5"/>
    <w:rsid w:val="00135146"/>
    <w:rsid w:val="00135CDA"/>
    <w:rsid w:val="00136457"/>
    <w:rsid w:val="001364B1"/>
    <w:rsid w:val="001401EC"/>
    <w:rsid w:val="001408F3"/>
    <w:rsid w:val="00142441"/>
    <w:rsid w:val="0014394B"/>
    <w:rsid w:val="00143CD7"/>
    <w:rsid w:val="00145223"/>
    <w:rsid w:val="001453CC"/>
    <w:rsid w:val="001466A8"/>
    <w:rsid w:val="0015271A"/>
    <w:rsid w:val="00152CE2"/>
    <w:rsid w:val="0015393B"/>
    <w:rsid w:val="001555A3"/>
    <w:rsid w:val="001615AD"/>
    <w:rsid w:val="00162D73"/>
    <w:rsid w:val="001636C0"/>
    <w:rsid w:val="001638B0"/>
    <w:rsid w:val="0016459E"/>
    <w:rsid w:val="00165AA9"/>
    <w:rsid w:val="0017194C"/>
    <w:rsid w:val="001734A4"/>
    <w:rsid w:val="0017417B"/>
    <w:rsid w:val="00174EB0"/>
    <w:rsid w:val="001801C3"/>
    <w:rsid w:val="00180F12"/>
    <w:rsid w:val="00183DA7"/>
    <w:rsid w:val="00184C75"/>
    <w:rsid w:val="00185ADB"/>
    <w:rsid w:val="001863DD"/>
    <w:rsid w:val="00186BCF"/>
    <w:rsid w:val="00191C98"/>
    <w:rsid w:val="0019292C"/>
    <w:rsid w:val="00196387"/>
    <w:rsid w:val="001970D3"/>
    <w:rsid w:val="001A0533"/>
    <w:rsid w:val="001A2330"/>
    <w:rsid w:val="001A48AA"/>
    <w:rsid w:val="001A7EE8"/>
    <w:rsid w:val="001B1451"/>
    <w:rsid w:val="001B2768"/>
    <w:rsid w:val="001B4AF8"/>
    <w:rsid w:val="001B6556"/>
    <w:rsid w:val="001B6F70"/>
    <w:rsid w:val="001B6FB5"/>
    <w:rsid w:val="001C1E42"/>
    <w:rsid w:val="001C26D4"/>
    <w:rsid w:val="001C28CE"/>
    <w:rsid w:val="001C3375"/>
    <w:rsid w:val="001C415B"/>
    <w:rsid w:val="001C47D5"/>
    <w:rsid w:val="001C47F6"/>
    <w:rsid w:val="001C4978"/>
    <w:rsid w:val="001C5A6E"/>
    <w:rsid w:val="001C672D"/>
    <w:rsid w:val="001C7A5B"/>
    <w:rsid w:val="001D2726"/>
    <w:rsid w:val="001D5C41"/>
    <w:rsid w:val="001D701C"/>
    <w:rsid w:val="001E0FF0"/>
    <w:rsid w:val="001E1283"/>
    <w:rsid w:val="001E2034"/>
    <w:rsid w:val="001E20AD"/>
    <w:rsid w:val="001E2444"/>
    <w:rsid w:val="001E4DA6"/>
    <w:rsid w:val="001F1C28"/>
    <w:rsid w:val="001F224A"/>
    <w:rsid w:val="001F2D6C"/>
    <w:rsid w:val="001F33F6"/>
    <w:rsid w:val="001F3ED5"/>
    <w:rsid w:val="001F5410"/>
    <w:rsid w:val="001F7671"/>
    <w:rsid w:val="001F7B5F"/>
    <w:rsid w:val="00207C6D"/>
    <w:rsid w:val="00207F6B"/>
    <w:rsid w:val="00217C86"/>
    <w:rsid w:val="00217ECD"/>
    <w:rsid w:val="00221607"/>
    <w:rsid w:val="002216E6"/>
    <w:rsid w:val="002236E9"/>
    <w:rsid w:val="00224F3A"/>
    <w:rsid w:val="00225D77"/>
    <w:rsid w:val="00225E07"/>
    <w:rsid w:val="00227099"/>
    <w:rsid w:val="0023189E"/>
    <w:rsid w:val="00231912"/>
    <w:rsid w:val="00231B1A"/>
    <w:rsid w:val="0023251B"/>
    <w:rsid w:val="00232A5F"/>
    <w:rsid w:val="00233826"/>
    <w:rsid w:val="0023414F"/>
    <w:rsid w:val="002347C4"/>
    <w:rsid w:val="0024056E"/>
    <w:rsid w:val="00241470"/>
    <w:rsid w:val="00242E5F"/>
    <w:rsid w:val="002468F4"/>
    <w:rsid w:val="00251A01"/>
    <w:rsid w:val="00253088"/>
    <w:rsid w:val="00253881"/>
    <w:rsid w:val="002567C2"/>
    <w:rsid w:val="00256C19"/>
    <w:rsid w:val="00257C2C"/>
    <w:rsid w:val="002605E7"/>
    <w:rsid w:val="00261294"/>
    <w:rsid w:val="00261992"/>
    <w:rsid w:val="0026376B"/>
    <w:rsid w:val="00274EF1"/>
    <w:rsid w:val="0027514B"/>
    <w:rsid w:val="00277548"/>
    <w:rsid w:val="00277FA2"/>
    <w:rsid w:val="00280810"/>
    <w:rsid w:val="00280976"/>
    <w:rsid w:val="0028706B"/>
    <w:rsid w:val="00287820"/>
    <w:rsid w:val="0029112E"/>
    <w:rsid w:val="002956B4"/>
    <w:rsid w:val="00296023"/>
    <w:rsid w:val="0029605A"/>
    <w:rsid w:val="002A0197"/>
    <w:rsid w:val="002A0FC0"/>
    <w:rsid w:val="002B2B48"/>
    <w:rsid w:val="002B5656"/>
    <w:rsid w:val="002B6D8C"/>
    <w:rsid w:val="002B6FB8"/>
    <w:rsid w:val="002B737B"/>
    <w:rsid w:val="002B787E"/>
    <w:rsid w:val="002C3D31"/>
    <w:rsid w:val="002C4556"/>
    <w:rsid w:val="002C469A"/>
    <w:rsid w:val="002C4E9D"/>
    <w:rsid w:val="002C675D"/>
    <w:rsid w:val="002C7922"/>
    <w:rsid w:val="002D19B5"/>
    <w:rsid w:val="002D1D73"/>
    <w:rsid w:val="002D461B"/>
    <w:rsid w:val="002D581E"/>
    <w:rsid w:val="002D7E07"/>
    <w:rsid w:val="002E053A"/>
    <w:rsid w:val="002E1F4B"/>
    <w:rsid w:val="002E38AC"/>
    <w:rsid w:val="002E56F0"/>
    <w:rsid w:val="002E6244"/>
    <w:rsid w:val="002E6B2A"/>
    <w:rsid w:val="002F31B3"/>
    <w:rsid w:val="002F4684"/>
    <w:rsid w:val="002F5B18"/>
    <w:rsid w:val="002F6B38"/>
    <w:rsid w:val="002F759F"/>
    <w:rsid w:val="0030284D"/>
    <w:rsid w:val="003040A4"/>
    <w:rsid w:val="003118D2"/>
    <w:rsid w:val="003125D8"/>
    <w:rsid w:val="0031378B"/>
    <w:rsid w:val="00315A0E"/>
    <w:rsid w:val="00321D4D"/>
    <w:rsid w:val="00323362"/>
    <w:rsid w:val="00324646"/>
    <w:rsid w:val="00325DB7"/>
    <w:rsid w:val="00326401"/>
    <w:rsid w:val="003315D8"/>
    <w:rsid w:val="003324BD"/>
    <w:rsid w:val="0033292D"/>
    <w:rsid w:val="003347F4"/>
    <w:rsid w:val="00334A1A"/>
    <w:rsid w:val="00335EF1"/>
    <w:rsid w:val="003424DA"/>
    <w:rsid w:val="00342A0C"/>
    <w:rsid w:val="00343F58"/>
    <w:rsid w:val="0034511B"/>
    <w:rsid w:val="00350477"/>
    <w:rsid w:val="00352697"/>
    <w:rsid w:val="0035274D"/>
    <w:rsid w:val="00353A59"/>
    <w:rsid w:val="00354B1D"/>
    <w:rsid w:val="0035616B"/>
    <w:rsid w:val="0035777A"/>
    <w:rsid w:val="00363CE2"/>
    <w:rsid w:val="0036444E"/>
    <w:rsid w:val="003647DA"/>
    <w:rsid w:val="00364F6D"/>
    <w:rsid w:val="00366EA2"/>
    <w:rsid w:val="003706AB"/>
    <w:rsid w:val="003707D3"/>
    <w:rsid w:val="003711EA"/>
    <w:rsid w:val="00371D51"/>
    <w:rsid w:val="00372B8D"/>
    <w:rsid w:val="0037659E"/>
    <w:rsid w:val="003769C7"/>
    <w:rsid w:val="00377B32"/>
    <w:rsid w:val="003805C7"/>
    <w:rsid w:val="0038249D"/>
    <w:rsid w:val="0038558A"/>
    <w:rsid w:val="00386BA8"/>
    <w:rsid w:val="00386E6C"/>
    <w:rsid w:val="00387637"/>
    <w:rsid w:val="00387CAD"/>
    <w:rsid w:val="00391E41"/>
    <w:rsid w:val="003927A7"/>
    <w:rsid w:val="0039411E"/>
    <w:rsid w:val="003961DE"/>
    <w:rsid w:val="00396997"/>
    <w:rsid w:val="003A0884"/>
    <w:rsid w:val="003A1177"/>
    <w:rsid w:val="003A2378"/>
    <w:rsid w:val="003A5123"/>
    <w:rsid w:val="003A7F17"/>
    <w:rsid w:val="003B13A2"/>
    <w:rsid w:val="003B1C3A"/>
    <w:rsid w:val="003B202A"/>
    <w:rsid w:val="003B2686"/>
    <w:rsid w:val="003B33FD"/>
    <w:rsid w:val="003B540D"/>
    <w:rsid w:val="003B7CC3"/>
    <w:rsid w:val="003C16CD"/>
    <w:rsid w:val="003C1EAD"/>
    <w:rsid w:val="003C408C"/>
    <w:rsid w:val="003C4148"/>
    <w:rsid w:val="003C499A"/>
    <w:rsid w:val="003C5431"/>
    <w:rsid w:val="003C6106"/>
    <w:rsid w:val="003D12A5"/>
    <w:rsid w:val="003D15A5"/>
    <w:rsid w:val="003D1D72"/>
    <w:rsid w:val="003D3A59"/>
    <w:rsid w:val="003D52F4"/>
    <w:rsid w:val="003D566D"/>
    <w:rsid w:val="003D5F61"/>
    <w:rsid w:val="003E000A"/>
    <w:rsid w:val="003E1FFF"/>
    <w:rsid w:val="003E5613"/>
    <w:rsid w:val="003E6335"/>
    <w:rsid w:val="003E6C7C"/>
    <w:rsid w:val="003E6C88"/>
    <w:rsid w:val="003E7436"/>
    <w:rsid w:val="003E755D"/>
    <w:rsid w:val="003F0F6B"/>
    <w:rsid w:val="003F1A3D"/>
    <w:rsid w:val="003F3284"/>
    <w:rsid w:val="003F33B1"/>
    <w:rsid w:val="003F3E82"/>
    <w:rsid w:val="003F7948"/>
    <w:rsid w:val="004016F9"/>
    <w:rsid w:val="004020A3"/>
    <w:rsid w:val="004027BF"/>
    <w:rsid w:val="00405417"/>
    <w:rsid w:val="00405F53"/>
    <w:rsid w:val="00406241"/>
    <w:rsid w:val="00407257"/>
    <w:rsid w:val="004079D7"/>
    <w:rsid w:val="004109C1"/>
    <w:rsid w:val="0041447C"/>
    <w:rsid w:val="0041493D"/>
    <w:rsid w:val="00415178"/>
    <w:rsid w:val="00416369"/>
    <w:rsid w:val="00417661"/>
    <w:rsid w:val="004176C9"/>
    <w:rsid w:val="004220E2"/>
    <w:rsid w:val="0042300C"/>
    <w:rsid w:val="00427971"/>
    <w:rsid w:val="00427FA6"/>
    <w:rsid w:val="004326B8"/>
    <w:rsid w:val="00433C0C"/>
    <w:rsid w:val="0043467A"/>
    <w:rsid w:val="004359E9"/>
    <w:rsid w:val="00435E40"/>
    <w:rsid w:val="00437A49"/>
    <w:rsid w:val="0044036D"/>
    <w:rsid w:val="004408EE"/>
    <w:rsid w:val="00442219"/>
    <w:rsid w:val="0044437E"/>
    <w:rsid w:val="0044549D"/>
    <w:rsid w:val="00452741"/>
    <w:rsid w:val="00452FB7"/>
    <w:rsid w:val="0045501C"/>
    <w:rsid w:val="004550C4"/>
    <w:rsid w:val="0045535C"/>
    <w:rsid w:val="00457D49"/>
    <w:rsid w:val="0046099F"/>
    <w:rsid w:val="004609E4"/>
    <w:rsid w:val="00462381"/>
    <w:rsid w:val="0046260E"/>
    <w:rsid w:val="0046417D"/>
    <w:rsid w:val="00464A2E"/>
    <w:rsid w:val="0046501A"/>
    <w:rsid w:val="00472AC8"/>
    <w:rsid w:val="00472CB3"/>
    <w:rsid w:val="004737F9"/>
    <w:rsid w:val="00473D83"/>
    <w:rsid w:val="00476191"/>
    <w:rsid w:val="00476EA3"/>
    <w:rsid w:val="0048072B"/>
    <w:rsid w:val="00482116"/>
    <w:rsid w:val="004826AF"/>
    <w:rsid w:val="004841A7"/>
    <w:rsid w:val="00485E3B"/>
    <w:rsid w:val="004872A2"/>
    <w:rsid w:val="004951DD"/>
    <w:rsid w:val="0049526A"/>
    <w:rsid w:val="00497586"/>
    <w:rsid w:val="004A1A48"/>
    <w:rsid w:val="004A2BD3"/>
    <w:rsid w:val="004A3E10"/>
    <w:rsid w:val="004A6166"/>
    <w:rsid w:val="004B15A3"/>
    <w:rsid w:val="004B1D12"/>
    <w:rsid w:val="004B5646"/>
    <w:rsid w:val="004B5DDB"/>
    <w:rsid w:val="004B793D"/>
    <w:rsid w:val="004C0D8A"/>
    <w:rsid w:val="004C2138"/>
    <w:rsid w:val="004C250D"/>
    <w:rsid w:val="004C6F8A"/>
    <w:rsid w:val="004D387D"/>
    <w:rsid w:val="004D3BF3"/>
    <w:rsid w:val="004D4BA5"/>
    <w:rsid w:val="004E1091"/>
    <w:rsid w:val="004E1433"/>
    <w:rsid w:val="004E1FBD"/>
    <w:rsid w:val="004E352A"/>
    <w:rsid w:val="004E4EDA"/>
    <w:rsid w:val="004E7521"/>
    <w:rsid w:val="004F29FD"/>
    <w:rsid w:val="004F32D5"/>
    <w:rsid w:val="004F57DE"/>
    <w:rsid w:val="004F6264"/>
    <w:rsid w:val="004F7173"/>
    <w:rsid w:val="00506F67"/>
    <w:rsid w:val="00510089"/>
    <w:rsid w:val="005119CC"/>
    <w:rsid w:val="00512626"/>
    <w:rsid w:val="0051356C"/>
    <w:rsid w:val="005163DC"/>
    <w:rsid w:val="00516643"/>
    <w:rsid w:val="005170F9"/>
    <w:rsid w:val="005227A1"/>
    <w:rsid w:val="00523A01"/>
    <w:rsid w:val="00523E70"/>
    <w:rsid w:val="0052460E"/>
    <w:rsid w:val="0052579D"/>
    <w:rsid w:val="00525C1A"/>
    <w:rsid w:val="00526525"/>
    <w:rsid w:val="00527B39"/>
    <w:rsid w:val="00527E55"/>
    <w:rsid w:val="00532FDD"/>
    <w:rsid w:val="0053416C"/>
    <w:rsid w:val="00535AAA"/>
    <w:rsid w:val="00536079"/>
    <w:rsid w:val="00536228"/>
    <w:rsid w:val="005375C0"/>
    <w:rsid w:val="0053770C"/>
    <w:rsid w:val="00540E28"/>
    <w:rsid w:val="0054192C"/>
    <w:rsid w:val="005431E5"/>
    <w:rsid w:val="00547404"/>
    <w:rsid w:val="0054749B"/>
    <w:rsid w:val="00550780"/>
    <w:rsid w:val="0055380B"/>
    <w:rsid w:val="00556BBD"/>
    <w:rsid w:val="0056262C"/>
    <w:rsid w:val="00564B0F"/>
    <w:rsid w:val="00570CC2"/>
    <w:rsid w:val="00573D1D"/>
    <w:rsid w:val="00574A1A"/>
    <w:rsid w:val="00577223"/>
    <w:rsid w:val="00584547"/>
    <w:rsid w:val="0058657E"/>
    <w:rsid w:val="005915AE"/>
    <w:rsid w:val="00592DB6"/>
    <w:rsid w:val="00593C23"/>
    <w:rsid w:val="00594692"/>
    <w:rsid w:val="00596B0D"/>
    <w:rsid w:val="00596BFD"/>
    <w:rsid w:val="00597EDE"/>
    <w:rsid w:val="005A49D7"/>
    <w:rsid w:val="005B4A4A"/>
    <w:rsid w:val="005B5CAF"/>
    <w:rsid w:val="005C3E4C"/>
    <w:rsid w:val="005C48BA"/>
    <w:rsid w:val="005C4F15"/>
    <w:rsid w:val="005C5B60"/>
    <w:rsid w:val="005C7871"/>
    <w:rsid w:val="005D04F6"/>
    <w:rsid w:val="005D2663"/>
    <w:rsid w:val="005D44AA"/>
    <w:rsid w:val="005E6D73"/>
    <w:rsid w:val="005F0F53"/>
    <w:rsid w:val="005F1A16"/>
    <w:rsid w:val="005F3D2D"/>
    <w:rsid w:val="0060041B"/>
    <w:rsid w:val="0060181F"/>
    <w:rsid w:val="00601CF9"/>
    <w:rsid w:val="00602426"/>
    <w:rsid w:val="0061000F"/>
    <w:rsid w:val="00610E72"/>
    <w:rsid w:val="00611B7C"/>
    <w:rsid w:val="00612145"/>
    <w:rsid w:val="00613914"/>
    <w:rsid w:val="00615AD1"/>
    <w:rsid w:val="00617202"/>
    <w:rsid w:val="006202F1"/>
    <w:rsid w:val="0062083E"/>
    <w:rsid w:val="006228F7"/>
    <w:rsid w:val="0062355A"/>
    <w:rsid w:val="00624998"/>
    <w:rsid w:val="00627374"/>
    <w:rsid w:val="00633363"/>
    <w:rsid w:val="00634544"/>
    <w:rsid w:val="00634825"/>
    <w:rsid w:val="006359CE"/>
    <w:rsid w:val="00635C26"/>
    <w:rsid w:val="006368CC"/>
    <w:rsid w:val="00636B2D"/>
    <w:rsid w:val="00636B4B"/>
    <w:rsid w:val="006430E1"/>
    <w:rsid w:val="00643CB4"/>
    <w:rsid w:val="00643E7A"/>
    <w:rsid w:val="0064558E"/>
    <w:rsid w:val="0065088C"/>
    <w:rsid w:val="00650BE5"/>
    <w:rsid w:val="00651766"/>
    <w:rsid w:val="00652850"/>
    <w:rsid w:val="0065571E"/>
    <w:rsid w:val="00656F95"/>
    <w:rsid w:val="006613CC"/>
    <w:rsid w:val="00663B1A"/>
    <w:rsid w:val="0066402C"/>
    <w:rsid w:val="00664EC4"/>
    <w:rsid w:val="00665D6B"/>
    <w:rsid w:val="00666C2A"/>
    <w:rsid w:val="0066706E"/>
    <w:rsid w:val="0066765D"/>
    <w:rsid w:val="006700F6"/>
    <w:rsid w:val="00671A9D"/>
    <w:rsid w:val="00671ADC"/>
    <w:rsid w:val="00672721"/>
    <w:rsid w:val="0067292A"/>
    <w:rsid w:val="006751FB"/>
    <w:rsid w:val="00676950"/>
    <w:rsid w:val="00680640"/>
    <w:rsid w:val="00680CBC"/>
    <w:rsid w:val="006826C6"/>
    <w:rsid w:val="00682DCA"/>
    <w:rsid w:val="0069149C"/>
    <w:rsid w:val="006928B8"/>
    <w:rsid w:val="006945F3"/>
    <w:rsid w:val="00694F59"/>
    <w:rsid w:val="00695E82"/>
    <w:rsid w:val="006969E7"/>
    <w:rsid w:val="006A59C2"/>
    <w:rsid w:val="006A62C5"/>
    <w:rsid w:val="006A62E4"/>
    <w:rsid w:val="006A6C28"/>
    <w:rsid w:val="006A7E95"/>
    <w:rsid w:val="006B2E6B"/>
    <w:rsid w:val="006B3823"/>
    <w:rsid w:val="006B3B55"/>
    <w:rsid w:val="006B4BA7"/>
    <w:rsid w:val="006B5CE9"/>
    <w:rsid w:val="006B7D5A"/>
    <w:rsid w:val="006B7E44"/>
    <w:rsid w:val="006C0375"/>
    <w:rsid w:val="006C1121"/>
    <w:rsid w:val="006C1938"/>
    <w:rsid w:val="006C21E0"/>
    <w:rsid w:val="006C29A8"/>
    <w:rsid w:val="006C2C16"/>
    <w:rsid w:val="006D3B5A"/>
    <w:rsid w:val="006D560C"/>
    <w:rsid w:val="006E19A0"/>
    <w:rsid w:val="006E346C"/>
    <w:rsid w:val="006E3950"/>
    <w:rsid w:val="006E625C"/>
    <w:rsid w:val="006F3424"/>
    <w:rsid w:val="006F5B79"/>
    <w:rsid w:val="006F7A84"/>
    <w:rsid w:val="00700AE8"/>
    <w:rsid w:val="00700C35"/>
    <w:rsid w:val="00703993"/>
    <w:rsid w:val="00704A61"/>
    <w:rsid w:val="0070610C"/>
    <w:rsid w:val="007070CF"/>
    <w:rsid w:val="0071031F"/>
    <w:rsid w:val="0071293D"/>
    <w:rsid w:val="0071310F"/>
    <w:rsid w:val="0071373D"/>
    <w:rsid w:val="00713823"/>
    <w:rsid w:val="00714C0F"/>
    <w:rsid w:val="00714ED2"/>
    <w:rsid w:val="007157F0"/>
    <w:rsid w:val="00721382"/>
    <w:rsid w:val="00722E20"/>
    <w:rsid w:val="00726E2C"/>
    <w:rsid w:val="00727A4A"/>
    <w:rsid w:val="00730E6E"/>
    <w:rsid w:val="007341A3"/>
    <w:rsid w:val="00734C48"/>
    <w:rsid w:val="0073577C"/>
    <w:rsid w:val="007357F4"/>
    <w:rsid w:val="00735F05"/>
    <w:rsid w:val="00737C5D"/>
    <w:rsid w:val="00740F4F"/>
    <w:rsid w:val="0074421C"/>
    <w:rsid w:val="0074594E"/>
    <w:rsid w:val="00745C6B"/>
    <w:rsid w:val="00750B80"/>
    <w:rsid w:val="0075481D"/>
    <w:rsid w:val="00760567"/>
    <w:rsid w:val="007621EE"/>
    <w:rsid w:val="00762533"/>
    <w:rsid w:val="00764EC9"/>
    <w:rsid w:val="00771659"/>
    <w:rsid w:val="007729D9"/>
    <w:rsid w:val="00772FB4"/>
    <w:rsid w:val="00774C83"/>
    <w:rsid w:val="00774DD3"/>
    <w:rsid w:val="00775D27"/>
    <w:rsid w:val="00775F95"/>
    <w:rsid w:val="00786B6F"/>
    <w:rsid w:val="007916CD"/>
    <w:rsid w:val="0079551F"/>
    <w:rsid w:val="00795AE3"/>
    <w:rsid w:val="00795E61"/>
    <w:rsid w:val="00796295"/>
    <w:rsid w:val="00797DDB"/>
    <w:rsid w:val="007A5059"/>
    <w:rsid w:val="007A50B5"/>
    <w:rsid w:val="007A76CD"/>
    <w:rsid w:val="007B0B98"/>
    <w:rsid w:val="007B1073"/>
    <w:rsid w:val="007B507F"/>
    <w:rsid w:val="007B67F0"/>
    <w:rsid w:val="007B7758"/>
    <w:rsid w:val="007B79BE"/>
    <w:rsid w:val="007C142F"/>
    <w:rsid w:val="007C180B"/>
    <w:rsid w:val="007C4713"/>
    <w:rsid w:val="007C6097"/>
    <w:rsid w:val="007C6797"/>
    <w:rsid w:val="007D1E3D"/>
    <w:rsid w:val="007D2EEC"/>
    <w:rsid w:val="007D305B"/>
    <w:rsid w:val="007D3F06"/>
    <w:rsid w:val="007D3F24"/>
    <w:rsid w:val="007D4245"/>
    <w:rsid w:val="007D57B8"/>
    <w:rsid w:val="007D637F"/>
    <w:rsid w:val="007D68CA"/>
    <w:rsid w:val="007D7D48"/>
    <w:rsid w:val="007E2768"/>
    <w:rsid w:val="007E3B9A"/>
    <w:rsid w:val="007E50A8"/>
    <w:rsid w:val="007E5615"/>
    <w:rsid w:val="007E595F"/>
    <w:rsid w:val="007E674D"/>
    <w:rsid w:val="007E7E4F"/>
    <w:rsid w:val="007F279F"/>
    <w:rsid w:val="007F48B0"/>
    <w:rsid w:val="007F4C2E"/>
    <w:rsid w:val="007F566C"/>
    <w:rsid w:val="007F5DFD"/>
    <w:rsid w:val="007F7C20"/>
    <w:rsid w:val="00803C55"/>
    <w:rsid w:val="00805EFF"/>
    <w:rsid w:val="008077BB"/>
    <w:rsid w:val="00821787"/>
    <w:rsid w:val="0082199F"/>
    <w:rsid w:val="00822EB9"/>
    <w:rsid w:val="00825C11"/>
    <w:rsid w:val="0082708F"/>
    <w:rsid w:val="00831DEA"/>
    <w:rsid w:val="008335DB"/>
    <w:rsid w:val="00833DE1"/>
    <w:rsid w:val="00834FA4"/>
    <w:rsid w:val="008351E5"/>
    <w:rsid w:val="0083540B"/>
    <w:rsid w:val="00835CCA"/>
    <w:rsid w:val="00835D87"/>
    <w:rsid w:val="00844A73"/>
    <w:rsid w:val="00844DAC"/>
    <w:rsid w:val="00844F82"/>
    <w:rsid w:val="00844FA3"/>
    <w:rsid w:val="00846AB2"/>
    <w:rsid w:val="008473CA"/>
    <w:rsid w:val="008500E2"/>
    <w:rsid w:val="008542E6"/>
    <w:rsid w:val="008543C5"/>
    <w:rsid w:val="00854CD0"/>
    <w:rsid w:val="00855235"/>
    <w:rsid w:val="0085574D"/>
    <w:rsid w:val="00856940"/>
    <w:rsid w:val="00861E7E"/>
    <w:rsid w:val="00863F07"/>
    <w:rsid w:val="00863F0D"/>
    <w:rsid w:val="008640E5"/>
    <w:rsid w:val="008658EC"/>
    <w:rsid w:val="00872268"/>
    <w:rsid w:val="008730D3"/>
    <w:rsid w:val="0087498E"/>
    <w:rsid w:val="008751DF"/>
    <w:rsid w:val="0088099D"/>
    <w:rsid w:val="00883138"/>
    <w:rsid w:val="00887300"/>
    <w:rsid w:val="008874A2"/>
    <w:rsid w:val="00887526"/>
    <w:rsid w:val="00887F8C"/>
    <w:rsid w:val="00891797"/>
    <w:rsid w:val="00893370"/>
    <w:rsid w:val="00896013"/>
    <w:rsid w:val="008962E2"/>
    <w:rsid w:val="00896ABC"/>
    <w:rsid w:val="008970CB"/>
    <w:rsid w:val="008A1F63"/>
    <w:rsid w:val="008A2BE5"/>
    <w:rsid w:val="008A5001"/>
    <w:rsid w:val="008A6289"/>
    <w:rsid w:val="008B0882"/>
    <w:rsid w:val="008B1FDC"/>
    <w:rsid w:val="008B5097"/>
    <w:rsid w:val="008B597D"/>
    <w:rsid w:val="008B643B"/>
    <w:rsid w:val="008C331A"/>
    <w:rsid w:val="008C5DF2"/>
    <w:rsid w:val="008C7F7C"/>
    <w:rsid w:val="008D2AD1"/>
    <w:rsid w:val="008D51B5"/>
    <w:rsid w:val="008D6304"/>
    <w:rsid w:val="008D6C21"/>
    <w:rsid w:val="008E1753"/>
    <w:rsid w:val="008E1ABB"/>
    <w:rsid w:val="008E2159"/>
    <w:rsid w:val="008E241D"/>
    <w:rsid w:val="008E2E07"/>
    <w:rsid w:val="008E2E4F"/>
    <w:rsid w:val="008E33AD"/>
    <w:rsid w:val="008E3522"/>
    <w:rsid w:val="008E582C"/>
    <w:rsid w:val="008E6CFD"/>
    <w:rsid w:val="008E7233"/>
    <w:rsid w:val="008F4946"/>
    <w:rsid w:val="008F516C"/>
    <w:rsid w:val="008F6B16"/>
    <w:rsid w:val="008F7A6D"/>
    <w:rsid w:val="00900379"/>
    <w:rsid w:val="009004C1"/>
    <w:rsid w:val="0090188E"/>
    <w:rsid w:val="00901908"/>
    <w:rsid w:val="009020BD"/>
    <w:rsid w:val="00905034"/>
    <w:rsid w:val="009050E5"/>
    <w:rsid w:val="009079D1"/>
    <w:rsid w:val="00910886"/>
    <w:rsid w:val="00910C74"/>
    <w:rsid w:val="0091248C"/>
    <w:rsid w:val="00913F16"/>
    <w:rsid w:val="00920CE4"/>
    <w:rsid w:val="009238D4"/>
    <w:rsid w:val="009245C6"/>
    <w:rsid w:val="009247C8"/>
    <w:rsid w:val="00926D5C"/>
    <w:rsid w:val="0093013B"/>
    <w:rsid w:val="00932066"/>
    <w:rsid w:val="009327AB"/>
    <w:rsid w:val="00932DBB"/>
    <w:rsid w:val="009335C1"/>
    <w:rsid w:val="009371C9"/>
    <w:rsid w:val="00940853"/>
    <w:rsid w:val="009440EB"/>
    <w:rsid w:val="00946874"/>
    <w:rsid w:val="0095385F"/>
    <w:rsid w:val="0095545F"/>
    <w:rsid w:val="0095569D"/>
    <w:rsid w:val="0095572D"/>
    <w:rsid w:val="009563FE"/>
    <w:rsid w:val="00956A81"/>
    <w:rsid w:val="00960214"/>
    <w:rsid w:val="0096129E"/>
    <w:rsid w:val="00962214"/>
    <w:rsid w:val="00962AAB"/>
    <w:rsid w:val="00962BC1"/>
    <w:rsid w:val="009644D2"/>
    <w:rsid w:val="00964602"/>
    <w:rsid w:val="0096518F"/>
    <w:rsid w:val="009666D1"/>
    <w:rsid w:val="0096784F"/>
    <w:rsid w:val="00970591"/>
    <w:rsid w:val="009708C4"/>
    <w:rsid w:val="009738C0"/>
    <w:rsid w:val="00973B49"/>
    <w:rsid w:val="009844E3"/>
    <w:rsid w:val="0098480C"/>
    <w:rsid w:val="00985401"/>
    <w:rsid w:val="00990BE2"/>
    <w:rsid w:val="00991C70"/>
    <w:rsid w:val="00991FE9"/>
    <w:rsid w:val="0099231D"/>
    <w:rsid w:val="00993348"/>
    <w:rsid w:val="009953F0"/>
    <w:rsid w:val="00996F2E"/>
    <w:rsid w:val="009A0E9E"/>
    <w:rsid w:val="009A3140"/>
    <w:rsid w:val="009A3A9E"/>
    <w:rsid w:val="009A4432"/>
    <w:rsid w:val="009A4759"/>
    <w:rsid w:val="009B11EA"/>
    <w:rsid w:val="009B2A58"/>
    <w:rsid w:val="009B5942"/>
    <w:rsid w:val="009B6CFF"/>
    <w:rsid w:val="009C2F0A"/>
    <w:rsid w:val="009C3B76"/>
    <w:rsid w:val="009C4B90"/>
    <w:rsid w:val="009C5478"/>
    <w:rsid w:val="009C64F1"/>
    <w:rsid w:val="009C7292"/>
    <w:rsid w:val="009C73A5"/>
    <w:rsid w:val="009D12D8"/>
    <w:rsid w:val="009D2BF5"/>
    <w:rsid w:val="009D360D"/>
    <w:rsid w:val="009D45B3"/>
    <w:rsid w:val="009E00EC"/>
    <w:rsid w:val="009E0816"/>
    <w:rsid w:val="009E321A"/>
    <w:rsid w:val="009E39AD"/>
    <w:rsid w:val="009E3E49"/>
    <w:rsid w:val="009E6090"/>
    <w:rsid w:val="009E670D"/>
    <w:rsid w:val="009F3FF3"/>
    <w:rsid w:val="009F5619"/>
    <w:rsid w:val="009F5829"/>
    <w:rsid w:val="009F734C"/>
    <w:rsid w:val="009F73CD"/>
    <w:rsid w:val="00A01308"/>
    <w:rsid w:val="00A01A1F"/>
    <w:rsid w:val="00A02175"/>
    <w:rsid w:val="00A02B99"/>
    <w:rsid w:val="00A03676"/>
    <w:rsid w:val="00A04231"/>
    <w:rsid w:val="00A04FD8"/>
    <w:rsid w:val="00A06076"/>
    <w:rsid w:val="00A10175"/>
    <w:rsid w:val="00A1087B"/>
    <w:rsid w:val="00A11354"/>
    <w:rsid w:val="00A14107"/>
    <w:rsid w:val="00A143C7"/>
    <w:rsid w:val="00A15360"/>
    <w:rsid w:val="00A212A4"/>
    <w:rsid w:val="00A26297"/>
    <w:rsid w:val="00A26318"/>
    <w:rsid w:val="00A26A02"/>
    <w:rsid w:val="00A26AC9"/>
    <w:rsid w:val="00A26F12"/>
    <w:rsid w:val="00A33783"/>
    <w:rsid w:val="00A37FD8"/>
    <w:rsid w:val="00A40388"/>
    <w:rsid w:val="00A403F3"/>
    <w:rsid w:val="00A420D8"/>
    <w:rsid w:val="00A4245E"/>
    <w:rsid w:val="00A44DA0"/>
    <w:rsid w:val="00A4762E"/>
    <w:rsid w:val="00A47AD4"/>
    <w:rsid w:val="00A47E8D"/>
    <w:rsid w:val="00A52B3A"/>
    <w:rsid w:val="00A53900"/>
    <w:rsid w:val="00A5440C"/>
    <w:rsid w:val="00A55ABF"/>
    <w:rsid w:val="00A56F87"/>
    <w:rsid w:val="00A57C5E"/>
    <w:rsid w:val="00A62F73"/>
    <w:rsid w:val="00A65065"/>
    <w:rsid w:val="00A66CC7"/>
    <w:rsid w:val="00A70BD6"/>
    <w:rsid w:val="00A75B15"/>
    <w:rsid w:val="00A76022"/>
    <w:rsid w:val="00A7684D"/>
    <w:rsid w:val="00A7754A"/>
    <w:rsid w:val="00A80B04"/>
    <w:rsid w:val="00A82C7C"/>
    <w:rsid w:val="00A84A54"/>
    <w:rsid w:val="00A86DA5"/>
    <w:rsid w:val="00A9124D"/>
    <w:rsid w:val="00A91706"/>
    <w:rsid w:val="00A92F02"/>
    <w:rsid w:val="00A93BD4"/>
    <w:rsid w:val="00A97D28"/>
    <w:rsid w:val="00AA0B3C"/>
    <w:rsid w:val="00AA0FAF"/>
    <w:rsid w:val="00AA2EDA"/>
    <w:rsid w:val="00AA41DE"/>
    <w:rsid w:val="00AA4886"/>
    <w:rsid w:val="00AA4DBF"/>
    <w:rsid w:val="00AA5998"/>
    <w:rsid w:val="00AA66AC"/>
    <w:rsid w:val="00AA74B5"/>
    <w:rsid w:val="00AB03AA"/>
    <w:rsid w:val="00AB03B2"/>
    <w:rsid w:val="00AB0731"/>
    <w:rsid w:val="00AB3C70"/>
    <w:rsid w:val="00AB7660"/>
    <w:rsid w:val="00AC0DD4"/>
    <w:rsid w:val="00AC18B9"/>
    <w:rsid w:val="00AC5778"/>
    <w:rsid w:val="00AD0FFA"/>
    <w:rsid w:val="00AD2A4F"/>
    <w:rsid w:val="00AD7827"/>
    <w:rsid w:val="00AE033E"/>
    <w:rsid w:val="00AE06DA"/>
    <w:rsid w:val="00AE1775"/>
    <w:rsid w:val="00AE36D7"/>
    <w:rsid w:val="00AE3A69"/>
    <w:rsid w:val="00AE6522"/>
    <w:rsid w:val="00AF055C"/>
    <w:rsid w:val="00AF0DC0"/>
    <w:rsid w:val="00AF14F4"/>
    <w:rsid w:val="00AF2BBF"/>
    <w:rsid w:val="00AF3CDF"/>
    <w:rsid w:val="00AF52D2"/>
    <w:rsid w:val="00AF5CF7"/>
    <w:rsid w:val="00B004BC"/>
    <w:rsid w:val="00B01000"/>
    <w:rsid w:val="00B02717"/>
    <w:rsid w:val="00B02B98"/>
    <w:rsid w:val="00B0329B"/>
    <w:rsid w:val="00B04DBF"/>
    <w:rsid w:val="00B053D7"/>
    <w:rsid w:val="00B0685F"/>
    <w:rsid w:val="00B114DA"/>
    <w:rsid w:val="00B11852"/>
    <w:rsid w:val="00B1196B"/>
    <w:rsid w:val="00B12D76"/>
    <w:rsid w:val="00B135C6"/>
    <w:rsid w:val="00B14930"/>
    <w:rsid w:val="00B153A4"/>
    <w:rsid w:val="00B159A7"/>
    <w:rsid w:val="00B164D2"/>
    <w:rsid w:val="00B2065B"/>
    <w:rsid w:val="00B21894"/>
    <w:rsid w:val="00B22694"/>
    <w:rsid w:val="00B2363F"/>
    <w:rsid w:val="00B236ED"/>
    <w:rsid w:val="00B248C5"/>
    <w:rsid w:val="00B25D8E"/>
    <w:rsid w:val="00B33723"/>
    <w:rsid w:val="00B3394E"/>
    <w:rsid w:val="00B354BC"/>
    <w:rsid w:val="00B40093"/>
    <w:rsid w:val="00B53C60"/>
    <w:rsid w:val="00B54D3D"/>
    <w:rsid w:val="00B56936"/>
    <w:rsid w:val="00B57C29"/>
    <w:rsid w:val="00B6105F"/>
    <w:rsid w:val="00B638A8"/>
    <w:rsid w:val="00B6401F"/>
    <w:rsid w:val="00B70456"/>
    <w:rsid w:val="00B75A4D"/>
    <w:rsid w:val="00B76A51"/>
    <w:rsid w:val="00B77865"/>
    <w:rsid w:val="00B77C2E"/>
    <w:rsid w:val="00B802AD"/>
    <w:rsid w:val="00B804CC"/>
    <w:rsid w:val="00B8338C"/>
    <w:rsid w:val="00B833F3"/>
    <w:rsid w:val="00B85138"/>
    <w:rsid w:val="00B85BCD"/>
    <w:rsid w:val="00B909E3"/>
    <w:rsid w:val="00B93BEE"/>
    <w:rsid w:val="00B95603"/>
    <w:rsid w:val="00BA3695"/>
    <w:rsid w:val="00BA4883"/>
    <w:rsid w:val="00BA5B23"/>
    <w:rsid w:val="00BB0F9E"/>
    <w:rsid w:val="00BB1C8B"/>
    <w:rsid w:val="00BB511F"/>
    <w:rsid w:val="00BB683C"/>
    <w:rsid w:val="00BB6B5C"/>
    <w:rsid w:val="00BB7E48"/>
    <w:rsid w:val="00BC147F"/>
    <w:rsid w:val="00BC2D8F"/>
    <w:rsid w:val="00BC5CF3"/>
    <w:rsid w:val="00BC5F61"/>
    <w:rsid w:val="00BC606D"/>
    <w:rsid w:val="00BC6F4A"/>
    <w:rsid w:val="00BC7AE1"/>
    <w:rsid w:val="00BD0325"/>
    <w:rsid w:val="00BD084A"/>
    <w:rsid w:val="00BD0A5D"/>
    <w:rsid w:val="00BD54D0"/>
    <w:rsid w:val="00BD5569"/>
    <w:rsid w:val="00BD6485"/>
    <w:rsid w:val="00BE0DC1"/>
    <w:rsid w:val="00BF2B59"/>
    <w:rsid w:val="00BF3E97"/>
    <w:rsid w:val="00BF5AF2"/>
    <w:rsid w:val="00BF61EB"/>
    <w:rsid w:val="00BF6F89"/>
    <w:rsid w:val="00BF799D"/>
    <w:rsid w:val="00C00504"/>
    <w:rsid w:val="00C00BF3"/>
    <w:rsid w:val="00C01CA6"/>
    <w:rsid w:val="00C01CC8"/>
    <w:rsid w:val="00C0206F"/>
    <w:rsid w:val="00C0288C"/>
    <w:rsid w:val="00C03D70"/>
    <w:rsid w:val="00C11734"/>
    <w:rsid w:val="00C123FA"/>
    <w:rsid w:val="00C124FB"/>
    <w:rsid w:val="00C12DE1"/>
    <w:rsid w:val="00C1375B"/>
    <w:rsid w:val="00C142EB"/>
    <w:rsid w:val="00C16697"/>
    <w:rsid w:val="00C1691F"/>
    <w:rsid w:val="00C2041E"/>
    <w:rsid w:val="00C204A7"/>
    <w:rsid w:val="00C205E5"/>
    <w:rsid w:val="00C22169"/>
    <w:rsid w:val="00C22BDB"/>
    <w:rsid w:val="00C243D6"/>
    <w:rsid w:val="00C255DA"/>
    <w:rsid w:val="00C255E4"/>
    <w:rsid w:val="00C30482"/>
    <w:rsid w:val="00C311CA"/>
    <w:rsid w:val="00C330AF"/>
    <w:rsid w:val="00C36E95"/>
    <w:rsid w:val="00C3779D"/>
    <w:rsid w:val="00C37839"/>
    <w:rsid w:val="00C40720"/>
    <w:rsid w:val="00C40AFA"/>
    <w:rsid w:val="00C42DD6"/>
    <w:rsid w:val="00C43427"/>
    <w:rsid w:val="00C436E8"/>
    <w:rsid w:val="00C4438D"/>
    <w:rsid w:val="00C44852"/>
    <w:rsid w:val="00C50EF2"/>
    <w:rsid w:val="00C52A18"/>
    <w:rsid w:val="00C53A81"/>
    <w:rsid w:val="00C54C1C"/>
    <w:rsid w:val="00C55E13"/>
    <w:rsid w:val="00C55E6C"/>
    <w:rsid w:val="00C56D2F"/>
    <w:rsid w:val="00C56D53"/>
    <w:rsid w:val="00C5733B"/>
    <w:rsid w:val="00C608B6"/>
    <w:rsid w:val="00C609BD"/>
    <w:rsid w:val="00C617B5"/>
    <w:rsid w:val="00C61F56"/>
    <w:rsid w:val="00C6322B"/>
    <w:rsid w:val="00C63A23"/>
    <w:rsid w:val="00C63AA6"/>
    <w:rsid w:val="00C65674"/>
    <w:rsid w:val="00C66D81"/>
    <w:rsid w:val="00C673AE"/>
    <w:rsid w:val="00C767D3"/>
    <w:rsid w:val="00C771DE"/>
    <w:rsid w:val="00C804B0"/>
    <w:rsid w:val="00C820C5"/>
    <w:rsid w:val="00C839CE"/>
    <w:rsid w:val="00C845FE"/>
    <w:rsid w:val="00C9764E"/>
    <w:rsid w:val="00CA05CC"/>
    <w:rsid w:val="00CA2A39"/>
    <w:rsid w:val="00CA2BB1"/>
    <w:rsid w:val="00CA2E39"/>
    <w:rsid w:val="00CA50D8"/>
    <w:rsid w:val="00CA7C9E"/>
    <w:rsid w:val="00CB0988"/>
    <w:rsid w:val="00CB37F6"/>
    <w:rsid w:val="00CC06C5"/>
    <w:rsid w:val="00CC07C7"/>
    <w:rsid w:val="00CC29DA"/>
    <w:rsid w:val="00CC2B99"/>
    <w:rsid w:val="00CD0355"/>
    <w:rsid w:val="00CD096A"/>
    <w:rsid w:val="00CD0FCA"/>
    <w:rsid w:val="00CD5144"/>
    <w:rsid w:val="00CD56E3"/>
    <w:rsid w:val="00CD5E92"/>
    <w:rsid w:val="00CE00E4"/>
    <w:rsid w:val="00CE0ACB"/>
    <w:rsid w:val="00CE1609"/>
    <w:rsid w:val="00CE4C20"/>
    <w:rsid w:val="00CF1633"/>
    <w:rsid w:val="00CF60E1"/>
    <w:rsid w:val="00CF6320"/>
    <w:rsid w:val="00CF7164"/>
    <w:rsid w:val="00D010E6"/>
    <w:rsid w:val="00D01DF8"/>
    <w:rsid w:val="00D03A1F"/>
    <w:rsid w:val="00D04DA3"/>
    <w:rsid w:val="00D053D5"/>
    <w:rsid w:val="00D07F08"/>
    <w:rsid w:val="00D111CA"/>
    <w:rsid w:val="00D17884"/>
    <w:rsid w:val="00D20088"/>
    <w:rsid w:val="00D2075D"/>
    <w:rsid w:val="00D30995"/>
    <w:rsid w:val="00D30D10"/>
    <w:rsid w:val="00D3218D"/>
    <w:rsid w:val="00D36188"/>
    <w:rsid w:val="00D3670D"/>
    <w:rsid w:val="00D37343"/>
    <w:rsid w:val="00D37FCD"/>
    <w:rsid w:val="00D37FDF"/>
    <w:rsid w:val="00D40FA4"/>
    <w:rsid w:val="00D4214E"/>
    <w:rsid w:val="00D43447"/>
    <w:rsid w:val="00D45A00"/>
    <w:rsid w:val="00D46AE6"/>
    <w:rsid w:val="00D47169"/>
    <w:rsid w:val="00D47781"/>
    <w:rsid w:val="00D4798F"/>
    <w:rsid w:val="00D51CF2"/>
    <w:rsid w:val="00D52E92"/>
    <w:rsid w:val="00D53FEE"/>
    <w:rsid w:val="00D5413E"/>
    <w:rsid w:val="00D550DF"/>
    <w:rsid w:val="00D55EB6"/>
    <w:rsid w:val="00D56B3C"/>
    <w:rsid w:val="00D57277"/>
    <w:rsid w:val="00D60153"/>
    <w:rsid w:val="00D62658"/>
    <w:rsid w:val="00D629FF"/>
    <w:rsid w:val="00D6308C"/>
    <w:rsid w:val="00D64239"/>
    <w:rsid w:val="00D64DF2"/>
    <w:rsid w:val="00D64F07"/>
    <w:rsid w:val="00D66529"/>
    <w:rsid w:val="00D66AED"/>
    <w:rsid w:val="00D66B39"/>
    <w:rsid w:val="00D67B70"/>
    <w:rsid w:val="00D727F6"/>
    <w:rsid w:val="00D749F3"/>
    <w:rsid w:val="00D75F52"/>
    <w:rsid w:val="00D77DA6"/>
    <w:rsid w:val="00D77DC9"/>
    <w:rsid w:val="00D8045B"/>
    <w:rsid w:val="00D82F2B"/>
    <w:rsid w:val="00D839D0"/>
    <w:rsid w:val="00D83CF3"/>
    <w:rsid w:val="00D86B24"/>
    <w:rsid w:val="00D90E38"/>
    <w:rsid w:val="00D91DCF"/>
    <w:rsid w:val="00D91FA5"/>
    <w:rsid w:val="00D930F0"/>
    <w:rsid w:val="00DA1180"/>
    <w:rsid w:val="00DA16C3"/>
    <w:rsid w:val="00DA39EA"/>
    <w:rsid w:val="00DA441F"/>
    <w:rsid w:val="00DB09E6"/>
    <w:rsid w:val="00DB24F7"/>
    <w:rsid w:val="00DB4F33"/>
    <w:rsid w:val="00DB5BAF"/>
    <w:rsid w:val="00DB6499"/>
    <w:rsid w:val="00DC0829"/>
    <w:rsid w:val="00DC4496"/>
    <w:rsid w:val="00DC7489"/>
    <w:rsid w:val="00DC7C02"/>
    <w:rsid w:val="00DC7FD7"/>
    <w:rsid w:val="00DD171D"/>
    <w:rsid w:val="00DD1E3C"/>
    <w:rsid w:val="00DD44DC"/>
    <w:rsid w:val="00DD7E40"/>
    <w:rsid w:val="00DD7F25"/>
    <w:rsid w:val="00DE311F"/>
    <w:rsid w:val="00DE34F1"/>
    <w:rsid w:val="00DE3F5C"/>
    <w:rsid w:val="00DE4FAD"/>
    <w:rsid w:val="00DE73A7"/>
    <w:rsid w:val="00DF06D9"/>
    <w:rsid w:val="00DF0802"/>
    <w:rsid w:val="00DF0CA7"/>
    <w:rsid w:val="00DF18FD"/>
    <w:rsid w:val="00DF38BF"/>
    <w:rsid w:val="00DF5056"/>
    <w:rsid w:val="00E01426"/>
    <w:rsid w:val="00E0325A"/>
    <w:rsid w:val="00E037D3"/>
    <w:rsid w:val="00E040B9"/>
    <w:rsid w:val="00E05119"/>
    <w:rsid w:val="00E07242"/>
    <w:rsid w:val="00E072FC"/>
    <w:rsid w:val="00E10051"/>
    <w:rsid w:val="00E14B8E"/>
    <w:rsid w:val="00E151B3"/>
    <w:rsid w:val="00E15D83"/>
    <w:rsid w:val="00E15F28"/>
    <w:rsid w:val="00E16B60"/>
    <w:rsid w:val="00E22213"/>
    <w:rsid w:val="00E23428"/>
    <w:rsid w:val="00E23E81"/>
    <w:rsid w:val="00E25028"/>
    <w:rsid w:val="00E25BFE"/>
    <w:rsid w:val="00E273D5"/>
    <w:rsid w:val="00E35808"/>
    <w:rsid w:val="00E4142F"/>
    <w:rsid w:val="00E42F76"/>
    <w:rsid w:val="00E43872"/>
    <w:rsid w:val="00E43891"/>
    <w:rsid w:val="00E4495D"/>
    <w:rsid w:val="00E45679"/>
    <w:rsid w:val="00E47137"/>
    <w:rsid w:val="00E521B7"/>
    <w:rsid w:val="00E53849"/>
    <w:rsid w:val="00E56B77"/>
    <w:rsid w:val="00E606C0"/>
    <w:rsid w:val="00E63CC9"/>
    <w:rsid w:val="00E64974"/>
    <w:rsid w:val="00E657F0"/>
    <w:rsid w:val="00E67BB0"/>
    <w:rsid w:val="00E73046"/>
    <w:rsid w:val="00E73BB0"/>
    <w:rsid w:val="00E75A12"/>
    <w:rsid w:val="00E761FB"/>
    <w:rsid w:val="00E762DF"/>
    <w:rsid w:val="00E77474"/>
    <w:rsid w:val="00E810B0"/>
    <w:rsid w:val="00E81403"/>
    <w:rsid w:val="00E83285"/>
    <w:rsid w:val="00E836C5"/>
    <w:rsid w:val="00E8460B"/>
    <w:rsid w:val="00E856DA"/>
    <w:rsid w:val="00E86E1F"/>
    <w:rsid w:val="00E87143"/>
    <w:rsid w:val="00E87E2A"/>
    <w:rsid w:val="00E930F0"/>
    <w:rsid w:val="00E94195"/>
    <w:rsid w:val="00E944AC"/>
    <w:rsid w:val="00E94F39"/>
    <w:rsid w:val="00E957DF"/>
    <w:rsid w:val="00E9587C"/>
    <w:rsid w:val="00E97490"/>
    <w:rsid w:val="00E97555"/>
    <w:rsid w:val="00EA0B8C"/>
    <w:rsid w:val="00EA174D"/>
    <w:rsid w:val="00EA5E63"/>
    <w:rsid w:val="00EA693A"/>
    <w:rsid w:val="00EB24F2"/>
    <w:rsid w:val="00EB295D"/>
    <w:rsid w:val="00EB2F6F"/>
    <w:rsid w:val="00EB434B"/>
    <w:rsid w:val="00EB4A7E"/>
    <w:rsid w:val="00EC29D1"/>
    <w:rsid w:val="00EC5562"/>
    <w:rsid w:val="00EC5C6F"/>
    <w:rsid w:val="00ED4FEE"/>
    <w:rsid w:val="00EE0132"/>
    <w:rsid w:val="00EE2403"/>
    <w:rsid w:val="00EE39F2"/>
    <w:rsid w:val="00EE5CD3"/>
    <w:rsid w:val="00EF0979"/>
    <w:rsid w:val="00EF0C1E"/>
    <w:rsid w:val="00EF1494"/>
    <w:rsid w:val="00EF6DE1"/>
    <w:rsid w:val="00F000D0"/>
    <w:rsid w:val="00F02A56"/>
    <w:rsid w:val="00F11242"/>
    <w:rsid w:val="00F12A16"/>
    <w:rsid w:val="00F1312C"/>
    <w:rsid w:val="00F1387E"/>
    <w:rsid w:val="00F1418E"/>
    <w:rsid w:val="00F14ED1"/>
    <w:rsid w:val="00F1778C"/>
    <w:rsid w:val="00F2245D"/>
    <w:rsid w:val="00F24C17"/>
    <w:rsid w:val="00F25A0C"/>
    <w:rsid w:val="00F25BFE"/>
    <w:rsid w:val="00F26ED5"/>
    <w:rsid w:val="00F27516"/>
    <w:rsid w:val="00F27DD2"/>
    <w:rsid w:val="00F30A19"/>
    <w:rsid w:val="00F31407"/>
    <w:rsid w:val="00F321F7"/>
    <w:rsid w:val="00F36D32"/>
    <w:rsid w:val="00F43968"/>
    <w:rsid w:val="00F47D25"/>
    <w:rsid w:val="00F52E19"/>
    <w:rsid w:val="00F55553"/>
    <w:rsid w:val="00F55994"/>
    <w:rsid w:val="00F55E1D"/>
    <w:rsid w:val="00F55FB2"/>
    <w:rsid w:val="00F573C0"/>
    <w:rsid w:val="00F63C22"/>
    <w:rsid w:val="00F660AC"/>
    <w:rsid w:val="00F67A33"/>
    <w:rsid w:val="00F70D0D"/>
    <w:rsid w:val="00F713DE"/>
    <w:rsid w:val="00F7201E"/>
    <w:rsid w:val="00F740DB"/>
    <w:rsid w:val="00F77B22"/>
    <w:rsid w:val="00F77B45"/>
    <w:rsid w:val="00F77E8C"/>
    <w:rsid w:val="00F81607"/>
    <w:rsid w:val="00F81B9E"/>
    <w:rsid w:val="00F84D59"/>
    <w:rsid w:val="00F86A20"/>
    <w:rsid w:val="00F874C2"/>
    <w:rsid w:val="00F87808"/>
    <w:rsid w:val="00F920AD"/>
    <w:rsid w:val="00F92A69"/>
    <w:rsid w:val="00F95C33"/>
    <w:rsid w:val="00F95E71"/>
    <w:rsid w:val="00F961DA"/>
    <w:rsid w:val="00F97C20"/>
    <w:rsid w:val="00F97CEB"/>
    <w:rsid w:val="00F97CFB"/>
    <w:rsid w:val="00FA029D"/>
    <w:rsid w:val="00FA03B7"/>
    <w:rsid w:val="00FA046C"/>
    <w:rsid w:val="00FA100E"/>
    <w:rsid w:val="00FA19CC"/>
    <w:rsid w:val="00FA41FA"/>
    <w:rsid w:val="00FA5080"/>
    <w:rsid w:val="00FB00FE"/>
    <w:rsid w:val="00FB12F8"/>
    <w:rsid w:val="00FB390A"/>
    <w:rsid w:val="00FB66C8"/>
    <w:rsid w:val="00FB7750"/>
    <w:rsid w:val="00FC052C"/>
    <w:rsid w:val="00FC1DB0"/>
    <w:rsid w:val="00FD050C"/>
    <w:rsid w:val="00FD0621"/>
    <w:rsid w:val="00FD6568"/>
    <w:rsid w:val="00FD679E"/>
    <w:rsid w:val="00FD7D91"/>
    <w:rsid w:val="00FE1CA3"/>
    <w:rsid w:val="00FE5F70"/>
    <w:rsid w:val="00FE667D"/>
    <w:rsid w:val="00FE7613"/>
    <w:rsid w:val="00FE7C04"/>
    <w:rsid w:val="00FF25DE"/>
    <w:rsid w:val="00FF7A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87954"/>
  <w15:docId w15:val="{835A97CF-5F68-45BA-A5A2-DC1D6FA1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C18B9"/>
    <w:pPr>
      <w:suppressAutoHyphens/>
    </w:pPr>
    <w:rPr>
      <w:rFonts w:ascii="Calibri" w:eastAsia="Calibri" w:hAnsi="Calibri" w:cs="Calibri"/>
      <w:sz w:val="22"/>
      <w:szCs w:val="22"/>
      <w:lang w:val="es-ES" w:eastAsia="ar-SA"/>
    </w:rPr>
  </w:style>
  <w:style w:type="paragraph" w:styleId="Ttulo1">
    <w:name w:val="heading 1"/>
    <w:basedOn w:val="Normal"/>
    <w:next w:val="Normal"/>
    <w:pPr>
      <w:keepNext/>
      <w:keepLines/>
      <w:spacing w:before="480"/>
      <w:outlineLvl w:val="0"/>
    </w:pPr>
    <w:rPr>
      <w:rFonts w:ascii="Cambria" w:eastAsia="Times New Roman" w:hAnsi="Cambria" w:cs="Times New Roman"/>
      <w:b/>
      <w:bCs/>
      <w:color w:val="365F91"/>
      <w:sz w:val="28"/>
      <w:szCs w:val="28"/>
    </w:rPr>
  </w:style>
  <w:style w:type="paragraph" w:styleId="Ttulo2">
    <w:name w:val="heading 2"/>
    <w:basedOn w:val="Normal"/>
    <w:next w:val="Normal"/>
    <w:pPr>
      <w:keepNext/>
      <w:keepLines/>
      <w:spacing w:before="200"/>
      <w:outlineLvl w:val="1"/>
    </w:pPr>
    <w:rPr>
      <w:rFonts w:ascii="Cambria" w:eastAsia="Times New Roman" w:hAnsi="Cambria" w:cs="Times New Roman"/>
      <w:b/>
      <w:bCs/>
      <w:color w:val="4F81BD"/>
      <w:sz w:val="26"/>
      <w:szCs w:val="26"/>
    </w:rPr>
  </w:style>
  <w:style w:type="paragraph" w:styleId="Ttulo5">
    <w:name w:val="heading 5"/>
    <w:basedOn w:val="Normal"/>
    <w:next w:val="Normal"/>
    <w:link w:val="Ttulo5Car"/>
    <w:uiPriority w:val="9"/>
    <w:semiHidden/>
    <w:unhideWhenUsed/>
    <w:qFormat/>
    <w:rsid w:val="002C3D31"/>
    <w:pPr>
      <w:keepNext/>
      <w:keepLines/>
      <w:spacing w:before="4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7">
    <w:name w:val="Fuente de párrafo predeter.7"/>
  </w:style>
  <w:style w:type="character" w:customStyle="1" w:styleId="Absatz-Standardschriftart">
    <w:name w:val="Absatz-Standardschriftart"/>
  </w:style>
  <w:style w:type="character" w:customStyle="1" w:styleId="Fuentedeprrafopredeter6">
    <w:name w:val="Fuente de párrafo predeter.6"/>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Fuentedeprrafopredeter2">
    <w:name w:val="Fuente de párrafo predeter.2"/>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z0">
    <w:name w:val="WW8Num1z0"/>
    <w:rPr>
      <w:rFonts w:cs="Times New Roman"/>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cs="Times New Roman"/>
    </w:rPr>
  </w:style>
  <w:style w:type="character" w:customStyle="1" w:styleId="Fuentedeprrafopredeter1">
    <w:name w:val="Fuente de párrafo predeter.1"/>
  </w:style>
  <w:style w:type="character" w:customStyle="1" w:styleId="TextoindependienteCar">
    <w:name w:val="Texto independiente Car"/>
    <w:rPr>
      <w:rFonts w:ascii="Arial" w:hAnsi="Arial" w:cs="Arial"/>
      <w:sz w:val="20"/>
      <w:szCs w:val="20"/>
      <w:lang w:val="es"/>
    </w:rPr>
  </w:style>
  <w:style w:type="character" w:customStyle="1" w:styleId="TtuloCar">
    <w:name w:val="Título Car"/>
    <w:rPr>
      <w:rFonts w:ascii="Arial" w:hAnsi="Arial" w:cs="Arial"/>
      <w:b/>
      <w:bCs/>
      <w:sz w:val="20"/>
      <w:szCs w:val="20"/>
      <w:lang w:val="es"/>
    </w:rPr>
  </w:style>
  <w:style w:type="character" w:customStyle="1" w:styleId="TextodegloboCar">
    <w:name w:val="Texto de globo Car"/>
    <w:rPr>
      <w:rFonts w:ascii="Tahoma" w:hAnsi="Tahoma" w:cs="Tahoma"/>
      <w:sz w:val="16"/>
      <w:szCs w:val="16"/>
    </w:rPr>
  </w:style>
  <w:style w:type="character" w:customStyle="1" w:styleId="EncabezadoCar">
    <w:name w:val="Encabezado Car"/>
    <w:rPr>
      <w:rFonts w:ascii="Calibri" w:hAnsi="Calibri" w:cs="Calibri"/>
    </w:rPr>
  </w:style>
  <w:style w:type="character" w:customStyle="1" w:styleId="PiedepginaCar">
    <w:name w:val="Pie de página Car"/>
    <w:rPr>
      <w:rFonts w:ascii="Calibri" w:hAnsi="Calibri" w:cs="Calibri"/>
    </w:rPr>
  </w:style>
  <w:style w:type="character" w:customStyle="1" w:styleId="WW8Num7z1">
    <w:name w:val="WW8Num7z1"/>
    <w:rPr>
      <w:rFonts w:ascii="Courier New" w:hAnsi="Courier New"/>
    </w:rPr>
  </w:style>
  <w:style w:type="character" w:styleId="Hipervnculo">
    <w:name w:val="Hyperlink"/>
    <w:rPr>
      <w:rFonts w:cs="Times New Roman"/>
      <w:color w:val="0000FF"/>
      <w:u w:val="single"/>
    </w:rPr>
  </w:style>
  <w:style w:type="character" w:customStyle="1" w:styleId="TextonotapieCar">
    <w:name w:val="Texto nota pie Car"/>
    <w:rPr>
      <w:rFonts w:ascii="Calibri" w:hAnsi="Calibri" w:cs="Calibri"/>
      <w:sz w:val="20"/>
      <w:szCs w:val="20"/>
    </w:rPr>
  </w:style>
  <w:style w:type="character" w:customStyle="1" w:styleId="Smbolodenotaalpie">
    <w:name w:val="Símbolo de nota al pie"/>
    <w:rPr>
      <w:rFonts w:cs="Times New Roman"/>
      <w:position w:val="0"/>
      <w:vertAlign w:val="superscript"/>
    </w:rPr>
  </w:style>
  <w:style w:type="character" w:customStyle="1" w:styleId="Ttulo1Car">
    <w:name w:val="Título 1 Car"/>
    <w:rPr>
      <w:rFonts w:ascii="Cambria" w:eastAsia="Times New Roman" w:hAnsi="Cambria" w:cs="Times New Roman"/>
      <w:b/>
      <w:bCs/>
      <w:color w:val="365F91"/>
      <w:sz w:val="28"/>
      <w:szCs w:val="28"/>
      <w:lang w:val="es-ES"/>
    </w:rPr>
  </w:style>
  <w:style w:type="character" w:customStyle="1" w:styleId="Ttulo2Car">
    <w:name w:val="Título 2 Car"/>
    <w:rPr>
      <w:rFonts w:ascii="Cambria" w:eastAsia="Times New Roman" w:hAnsi="Cambria" w:cs="Times New Roman"/>
      <w:b/>
      <w:bCs/>
      <w:color w:val="4F81BD"/>
      <w:sz w:val="26"/>
      <w:szCs w:val="26"/>
      <w:lang w:val="es-ES"/>
    </w:rPr>
  </w:style>
  <w:style w:type="character" w:customStyle="1" w:styleId="EncabezadodemensajeCar">
    <w:name w:val="Encabezado de mensaje Car"/>
    <w:rPr>
      <w:rFonts w:ascii="Cambria" w:eastAsia="Times New Roman" w:hAnsi="Cambria" w:cs="Times New Roman"/>
      <w:sz w:val="24"/>
      <w:szCs w:val="24"/>
      <w:shd w:val="clear" w:color="auto" w:fill="CCCCCC"/>
      <w:lang w:val="es-ES"/>
    </w:rPr>
  </w:style>
  <w:style w:type="character" w:customStyle="1" w:styleId="SubttuloCar">
    <w:name w:val="Subtítulo Car"/>
    <w:rPr>
      <w:rFonts w:ascii="Cambria" w:eastAsia="Times New Roman" w:hAnsi="Cambria" w:cs="Times New Roman"/>
      <w:i/>
      <w:iCs/>
      <w:color w:val="4F81BD"/>
      <w:spacing w:val="15"/>
      <w:sz w:val="24"/>
      <w:szCs w:val="24"/>
      <w:lang w:val="es-ES"/>
    </w:rPr>
  </w:style>
  <w:style w:type="character" w:customStyle="1" w:styleId="Refdecomentario1">
    <w:name w:val="Ref. de comentario1"/>
    <w:rPr>
      <w:sz w:val="16"/>
      <w:szCs w:val="16"/>
    </w:rPr>
  </w:style>
  <w:style w:type="character" w:customStyle="1" w:styleId="TextocomentarioCar">
    <w:name w:val="Texto comentario Car"/>
    <w:rPr>
      <w:rFonts w:ascii="Calibri" w:eastAsia="Calibri" w:hAnsi="Calibri" w:cs="Calibri"/>
      <w:lang w:val="es-ES"/>
    </w:rPr>
  </w:style>
  <w:style w:type="character" w:customStyle="1" w:styleId="AsuntodelcomentarioCar">
    <w:name w:val="Asunto del comentario Car"/>
    <w:rPr>
      <w:rFonts w:ascii="Calibri" w:eastAsia="Calibri" w:hAnsi="Calibri" w:cs="Calibri"/>
      <w:b/>
      <w:bCs/>
      <w:lang w:val="es-ES"/>
    </w:rPr>
  </w:style>
  <w:style w:type="paragraph" w:customStyle="1" w:styleId="Encabezado7">
    <w:name w:val="Encabezado7"/>
    <w:basedOn w:val="Normal"/>
    <w:next w:val="Textoindependiente"/>
    <w:pPr>
      <w:keepNext/>
      <w:spacing w:before="240" w:after="120"/>
    </w:pPr>
    <w:rPr>
      <w:rFonts w:ascii="Arial" w:eastAsia="Arial Unicode MS" w:hAnsi="Arial" w:cs="Mangal"/>
      <w:sz w:val="28"/>
      <w:szCs w:val="28"/>
    </w:rPr>
  </w:style>
  <w:style w:type="paragraph" w:styleId="Textoindependiente">
    <w:name w:val="Body Text"/>
    <w:basedOn w:val="Normal"/>
    <w:pPr>
      <w:widowControl w:val="0"/>
      <w:jc w:val="both"/>
    </w:pPr>
    <w:rPr>
      <w:rFonts w:ascii="Arial" w:eastAsia="Times New Roman" w:hAnsi="Arial" w:cs="Arial"/>
      <w:lang w:val="es"/>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pPr>
    <w:rPr>
      <w:rFonts w:ascii="Arial" w:eastAsia="MS Mincho" w:hAnsi="Arial" w:cs="Tahoma"/>
      <w:sz w:val="28"/>
      <w:szCs w:val="28"/>
    </w:rPr>
  </w:style>
  <w:style w:type="paragraph" w:customStyle="1" w:styleId="Encabezado3">
    <w:name w:val="Encabezado3"/>
    <w:basedOn w:val="Normal"/>
    <w:next w:val="Textoindependiente"/>
    <w:pPr>
      <w:keepNext/>
      <w:spacing w:before="240" w:after="120"/>
    </w:pPr>
    <w:rPr>
      <w:rFonts w:ascii="Arial" w:eastAsia="MS Mincho" w:hAnsi="Arial" w:cs="Tahoma"/>
      <w:sz w:val="28"/>
      <w:szCs w:val="28"/>
    </w:rPr>
  </w:style>
  <w:style w:type="paragraph" w:customStyle="1" w:styleId="Encabezado2">
    <w:name w:val="Encabezado2"/>
    <w:basedOn w:val="Normal"/>
    <w:next w:val="Textoindependiente"/>
    <w:pPr>
      <w:keepNext/>
      <w:spacing w:before="240" w:after="120"/>
    </w:pPr>
    <w:rPr>
      <w:rFonts w:ascii="Arial" w:eastAsia="MS Mincho" w:hAnsi="Arial" w:cs="Tahoma"/>
      <w:sz w:val="28"/>
      <w:szCs w:val="28"/>
    </w:rPr>
  </w:style>
  <w:style w:type="paragraph" w:customStyle="1" w:styleId="Encabezado1">
    <w:name w:val="Encabezado1"/>
    <w:basedOn w:val="Normal"/>
    <w:next w:val="Textoindependiente"/>
    <w:pPr>
      <w:keepNext/>
      <w:spacing w:before="240" w:after="120"/>
    </w:pPr>
    <w:rPr>
      <w:rFonts w:ascii="Arial" w:eastAsia="MS Mincho" w:hAnsi="Arial" w:cs="Tahoma"/>
      <w:sz w:val="28"/>
      <w:szCs w:val="28"/>
    </w:rPr>
  </w:style>
  <w:style w:type="paragraph" w:styleId="Ttulo">
    <w:name w:val="Title"/>
    <w:basedOn w:val="Normal"/>
    <w:next w:val="Subttulo"/>
    <w:pPr>
      <w:widowControl w:val="0"/>
      <w:jc w:val="center"/>
    </w:pPr>
    <w:rPr>
      <w:rFonts w:ascii="Arial" w:eastAsia="Times New Roman" w:hAnsi="Arial" w:cs="Arial"/>
      <w:b/>
      <w:bCs/>
      <w:lang w:val="es"/>
    </w:rPr>
  </w:style>
  <w:style w:type="paragraph" w:styleId="Subttulo">
    <w:name w:val="Subtitle"/>
    <w:basedOn w:val="Normal"/>
    <w:next w:val="Normal"/>
    <w:rPr>
      <w:rFonts w:ascii="Cambria" w:eastAsia="Times New Roman" w:hAnsi="Cambria" w:cs="Times New Roman"/>
      <w:i/>
      <w:iCs/>
      <w:color w:val="4F81BD"/>
      <w:spacing w:val="15"/>
      <w:sz w:val="24"/>
      <w:szCs w:val="24"/>
    </w:rPr>
  </w:style>
  <w:style w:type="paragraph" w:styleId="Textodeglobo">
    <w:name w:val="Balloon Text"/>
    <w:basedOn w:val="Normal"/>
    <w:rPr>
      <w:rFonts w:ascii="Tahoma" w:hAnsi="Tahoma" w:cs="Tahoma"/>
      <w:sz w:val="16"/>
      <w:szCs w:val="16"/>
    </w:rPr>
  </w:style>
  <w:style w:type="paragraph" w:styleId="Encabezado">
    <w:name w:val="header"/>
    <w:basedOn w:val="Normal"/>
  </w:style>
  <w:style w:type="paragraph" w:styleId="Piedepgina">
    <w:name w:val="footer"/>
    <w:basedOn w:val="Normal"/>
  </w:style>
  <w:style w:type="paragraph" w:styleId="Textonotapie">
    <w:name w:val="footnote text"/>
    <w:aliases w:val="fn,footnote text,FOOTNOTES,single space,Char Char,Footnote,Car,Footnote Text Char Char Char Char Char,Footnote Text Char Char Char Char,Footnote reference,FA Fu,Footnote Text Char Char Char,Footnote Text Char,texto de nota al pi,BVI fnr"/>
    <w:basedOn w:val="Normal"/>
    <w:link w:val="TextonotapieCar1"/>
    <w:qFormat/>
    <w:rPr>
      <w:sz w:val="20"/>
      <w:szCs w:val="20"/>
    </w:rPr>
  </w:style>
  <w:style w:type="paragraph" w:customStyle="1" w:styleId="CharCharCharChar">
    <w:name w:val="Char Char Char Char"/>
    <w:basedOn w:val="Normal"/>
    <w:pPr>
      <w:spacing w:after="160" w:line="240" w:lineRule="exact"/>
    </w:pPr>
    <w:rPr>
      <w:rFonts w:ascii="Verdana" w:eastAsia="Times New Roman" w:hAnsi="Verdana" w:cs="Times New Roman"/>
      <w:sz w:val="20"/>
      <w:szCs w:val="20"/>
      <w:lang w:val="en-US"/>
    </w:rPr>
  </w:style>
  <w:style w:type="paragraph" w:customStyle="1" w:styleId="Encabezadodemensaje1">
    <w:name w:val="Encabezado de mensaje1"/>
    <w:basedOn w:val="Normal"/>
    <w:pPr>
      <w:shd w:val="clear" w:color="auto" w:fill="CCCCCC"/>
      <w:ind w:left="1134" w:hanging="1134"/>
    </w:pPr>
    <w:rPr>
      <w:rFonts w:ascii="Cambria" w:eastAsia="Times New Roman" w:hAnsi="Cambria" w:cs="Times New Roman"/>
      <w:sz w:val="24"/>
      <w:szCs w:val="24"/>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Textocomentario1">
    <w:name w:val="Texto comentario1"/>
    <w:basedOn w:val="Normal"/>
    <w:rPr>
      <w:rFonts w:cs="Times New Roman"/>
      <w:sz w:val="20"/>
      <w:szCs w:val="20"/>
    </w:rPr>
  </w:style>
  <w:style w:type="paragraph" w:styleId="Asuntodelcomentario">
    <w:name w:val="annotation subject"/>
    <w:basedOn w:val="Textocomentario1"/>
    <w:next w:val="Textocomentario1"/>
    <w:rPr>
      <w:b/>
      <w:bCs/>
    </w:rPr>
  </w:style>
  <w:style w:type="paragraph" w:customStyle="1" w:styleId="Estilo1">
    <w:name w:val="Estilo1"/>
    <w:basedOn w:val="Normal"/>
    <w:pPr>
      <w:widowControl w:val="0"/>
    </w:pPr>
    <w:rPr>
      <w:rFonts w:ascii="Arial" w:eastAsia="Arial Unicode MS" w:hAnsi="Arial" w:cs="Times New Roman"/>
      <w:kern w:val="3"/>
      <w:sz w:val="24"/>
      <w:szCs w:val="24"/>
      <w:lang w:val="es"/>
    </w:rPr>
  </w:style>
  <w:style w:type="paragraph" w:styleId="Prrafodelista">
    <w:name w:val="List Paragraph"/>
    <w:aliases w:val="titulo 3,Viñetas,VIÑETA,Bolita,BOLA,MIBEX B,4.2.3.1.1,Párrafo de lista21,HOJA,Colorful List - Accent 11,Lista vistosa - Énfasis 11,BOLADEF,Guión,Viñeta 2,Titulo 8,Párrafo de lista31,ViÃ±eta 2,Párrafo de lista2,Párrafo de lista3"/>
    <w:basedOn w:val="Normal"/>
    <w:link w:val="PrrafodelistaCar"/>
    <w:uiPriority w:val="34"/>
    <w:qFormat/>
    <w:pPr>
      <w:ind w:left="720"/>
    </w:pPr>
    <w:rPr>
      <w:rFonts w:cs="Times New Roman"/>
      <w:lang w:val="es-CO" w:eastAsia="en-US"/>
    </w:rPr>
  </w:style>
  <w:style w:type="character" w:styleId="Refdenotaalpie">
    <w:name w:val="footnote reference"/>
    <w:aliases w:val="Ref. de nota al pie 2,Pie de Página,FC,Texto de nota al pie,Appel note de bas de page,Footnotes refss,Footnote number,referencia nota al pie,f,4_G,16 Point,Superscript 6 Point,Texto nota al pie,Texto de nota al pi,Pie de Pàgi"/>
    <w:basedOn w:val="Fuentedeprrafopredeter"/>
    <w:link w:val="Char2"/>
    <w:unhideWhenUsed/>
    <w:qFormat/>
    <w:rsid w:val="00A55ABF"/>
    <w:rPr>
      <w:vertAlign w:val="superscript"/>
    </w:rPr>
  </w:style>
  <w:style w:type="character" w:styleId="Mencinsinresolver">
    <w:name w:val="Unresolved Mention"/>
    <w:basedOn w:val="Fuentedeprrafopredeter"/>
    <w:uiPriority w:val="99"/>
    <w:semiHidden/>
    <w:unhideWhenUsed/>
    <w:rsid w:val="003E755D"/>
    <w:rPr>
      <w:color w:val="605E5C"/>
      <w:shd w:val="clear" w:color="auto" w:fill="E1DFDD"/>
    </w:rPr>
  </w:style>
  <w:style w:type="paragraph" w:styleId="Sinespaciado">
    <w:name w:val="No Spacing"/>
    <w:uiPriority w:val="1"/>
    <w:qFormat/>
    <w:rsid w:val="00D60153"/>
    <w:pPr>
      <w:suppressAutoHyphens/>
    </w:pPr>
    <w:rPr>
      <w:rFonts w:ascii="Calibri" w:eastAsia="Calibri" w:hAnsi="Calibri" w:cs="Calibri"/>
      <w:sz w:val="22"/>
      <w:szCs w:val="22"/>
      <w:lang w:val="es-ES" w:eastAsia="ar-SA"/>
    </w:rPr>
  </w:style>
  <w:style w:type="character" w:styleId="Refdecomentario">
    <w:name w:val="annotation reference"/>
    <w:basedOn w:val="Fuentedeprrafopredeter"/>
    <w:uiPriority w:val="99"/>
    <w:semiHidden/>
    <w:unhideWhenUsed/>
    <w:rsid w:val="00001F56"/>
    <w:rPr>
      <w:sz w:val="16"/>
      <w:szCs w:val="16"/>
    </w:rPr>
  </w:style>
  <w:style w:type="paragraph" w:styleId="Textocomentario">
    <w:name w:val="annotation text"/>
    <w:basedOn w:val="Normal"/>
    <w:link w:val="TextocomentarioCar1"/>
    <w:uiPriority w:val="99"/>
    <w:semiHidden/>
    <w:unhideWhenUsed/>
    <w:rsid w:val="00001F56"/>
    <w:rPr>
      <w:sz w:val="20"/>
      <w:szCs w:val="20"/>
    </w:rPr>
  </w:style>
  <w:style w:type="character" w:customStyle="1" w:styleId="TextocomentarioCar1">
    <w:name w:val="Texto comentario Car1"/>
    <w:basedOn w:val="Fuentedeprrafopredeter"/>
    <w:link w:val="Textocomentario"/>
    <w:uiPriority w:val="99"/>
    <w:semiHidden/>
    <w:rsid w:val="00001F56"/>
    <w:rPr>
      <w:rFonts w:ascii="Calibri" w:eastAsia="Calibri" w:hAnsi="Calibri" w:cs="Calibri"/>
      <w:lang w:val="es-ES" w:eastAsia="ar-SA"/>
    </w:rPr>
  </w:style>
  <w:style w:type="character" w:customStyle="1" w:styleId="TextonotapieCar1">
    <w:name w:val="Texto nota pie Car1"/>
    <w:aliases w:val="fn Car,footnote text Car,FOOTNOTES Car,single space Car,Char Char Car,Footnote Car,Car Car,Footnote Text Char Char Char Char Char Car,Footnote Text Char Char Char Char Car,Footnote reference Car,FA Fu Car,Footnote Text Char Car"/>
    <w:link w:val="Textonotapie"/>
    <w:qFormat/>
    <w:locked/>
    <w:rsid w:val="00E836C5"/>
    <w:rPr>
      <w:rFonts w:ascii="Calibri" w:eastAsia="Calibri" w:hAnsi="Calibri" w:cs="Calibri"/>
      <w:lang w:val="es-ES" w:eastAsia="ar-SA"/>
    </w:rPr>
  </w:style>
  <w:style w:type="character" w:customStyle="1" w:styleId="normaltextrun">
    <w:name w:val="normaltextrun"/>
    <w:basedOn w:val="Fuentedeprrafopredeter"/>
    <w:rsid w:val="00863F0D"/>
  </w:style>
  <w:style w:type="table" w:styleId="Tablaconcuadrcula">
    <w:name w:val="Table Grid"/>
    <w:basedOn w:val="Tablanormal"/>
    <w:uiPriority w:val="59"/>
    <w:rsid w:val="00CD035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A33"/>
    <w:rPr>
      <w:rFonts w:ascii="Times New Roman" w:hAnsi="Times New Roman" w:cs="Times New Roman"/>
      <w:sz w:val="24"/>
      <w:szCs w:val="24"/>
    </w:rPr>
  </w:style>
  <w:style w:type="paragraph" w:customStyle="1" w:styleId="Decretos">
    <w:name w:val="Decretos"/>
    <w:rsid w:val="007341A3"/>
    <w:pPr>
      <w:widowControl w:val="0"/>
      <w:tabs>
        <w:tab w:val="center" w:pos="510"/>
        <w:tab w:val="left" w:pos="1134"/>
      </w:tabs>
      <w:autoSpaceDE w:val="0"/>
      <w:adjustRightInd w:val="0"/>
      <w:spacing w:before="28" w:after="28" w:line="210" w:lineRule="atLeast"/>
      <w:ind w:firstLine="283"/>
      <w:jc w:val="both"/>
      <w:textAlignment w:val="auto"/>
    </w:pPr>
    <w:rPr>
      <w:color w:val="000000"/>
      <w:sz w:val="19"/>
      <w:szCs w:val="19"/>
      <w:lang w:val="es-ES" w:eastAsia="es-ES"/>
    </w:rPr>
  </w:style>
  <w:style w:type="character" w:customStyle="1" w:styleId="PrrafodelistaCar">
    <w:name w:val="Párrafo de lista Car"/>
    <w:aliases w:val="titulo 3 Car,Viñetas Car,VIÑETA Car,Bolita Car,BOLA Car,MIBEX B Car,4.2.3.1.1 Car,Párrafo de lista21 Car,HOJA Car,Colorful List - Accent 11 Car,Lista vistosa - Énfasis 11 Car,BOLADEF Car,Guión Car,Viñeta 2 Car,Titulo 8 Car"/>
    <w:link w:val="Prrafodelista"/>
    <w:uiPriority w:val="34"/>
    <w:qFormat/>
    <w:locked/>
    <w:rsid w:val="00596BFD"/>
    <w:rPr>
      <w:rFonts w:ascii="Calibri" w:eastAsia="Calibri" w:hAnsi="Calibri"/>
      <w:sz w:val="22"/>
      <w:szCs w:val="22"/>
      <w:lang w:eastAsia="en-US"/>
    </w:rPr>
  </w:style>
  <w:style w:type="paragraph" w:customStyle="1" w:styleId="Char2">
    <w:name w:val="Char2"/>
    <w:basedOn w:val="Normal"/>
    <w:link w:val="Refdenotaalpie"/>
    <w:rsid w:val="00596BFD"/>
    <w:pPr>
      <w:suppressAutoHyphens w:val="0"/>
      <w:autoSpaceDN/>
      <w:spacing w:after="160" w:line="240" w:lineRule="exact"/>
      <w:textAlignment w:val="auto"/>
    </w:pPr>
    <w:rPr>
      <w:rFonts w:ascii="Times New Roman" w:eastAsia="Times New Roman" w:hAnsi="Times New Roman" w:cs="Times New Roman"/>
      <w:sz w:val="20"/>
      <w:szCs w:val="20"/>
      <w:vertAlign w:val="superscript"/>
      <w:lang w:val="es-CO" w:eastAsia="es-CO"/>
    </w:rPr>
  </w:style>
  <w:style w:type="character" w:customStyle="1" w:styleId="Ttulo5Car">
    <w:name w:val="Título 5 Car"/>
    <w:basedOn w:val="Fuentedeprrafopredeter"/>
    <w:link w:val="Ttulo5"/>
    <w:uiPriority w:val="9"/>
    <w:semiHidden/>
    <w:rsid w:val="002C3D31"/>
    <w:rPr>
      <w:rFonts w:asciiTheme="majorHAnsi" w:eastAsiaTheme="majorEastAsia" w:hAnsiTheme="majorHAnsi" w:cstheme="majorBidi"/>
      <w:color w:val="365F91" w:themeColor="accent1" w:themeShade="BF"/>
      <w:sz w:val="22"/>
      <w:szCs w:val="22"/>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5832">
      <w:bodyDiv w:val="1"/>
      <w:marLeft w:val="0"/>
      <w:marRight w:val="0"/>
      <w:marTop w:val="0"/>
      <w:marBottom w:val="0"/>
      <w:divBdr>
        <w:top w:val="none" w:sz="0" w:space="0" w:color="auto"/>
        <w:left w:val="none" w:sz="0" w:space="0" w:color="auto"/>
        <w:bottom w:val="none" w:sz="0" w:space="0" w:color="auto"/>
        <w:right w:val="none" w:sz="0" w:space="0" w:color="auto"/>
      </w:divBdr>
    </w:div>
    <w:div w:id="113066675">
      <w:bodyDiv w:val="1"/>
      <w:marLeft w:val="0"/>
      <w:marRight w:val="0"/>
      <w:marTop w:val="0"/>
      <w:marBottom w:val="0"/>
      <w:divBdr>
        <w:top w:val="none" w:sz="0" w:space="0" w:color="auto"/>
        <w:left w:val="none" w:sz="0" w:space="0" w:color="auto"/>
        <w:bottom w:val="none" w:sz="0" w:space="0" w:color="auto"/>
        <w:right w:val="none" w:sz="0" w:space="0" w:color="auto"/>
      </w:divBdr>
    </w:div>
    <w:div w:id="141966776">
      <w:bodyDiv w:val="1"/>
      <w:marLeft w:val="0"/>
      <w:marRight w:val="0"/>
      <w:marTop w:val="0"/>
      <w:marBottom w:val="0"/>
      <w:divBdr>
        <w:top w:val="none" w:sz="0" w:space="0" w:color="auto"/>
        <w:left w:val="none" w:sz="0" w:space="0" w:color="auto"/>
        <w:bottom w:val="none" w:sz="0" w:space="0" w:color="auto"/>
        <w:right w:val="none" w:sz="0" w:space="0" w:color="auto"/>
      </w:divBdr>
    </w:div>
    <w:div w:id="153884818">
      <w:bodyDiv w:val="1"/>
      <w:marLeft w:val="0"/>
      <w:marRight w:val="0"/>
      <w:marTop w:val="0"/>
      <w:marBottom w:val="0"/>
      <w:divBdr>
        <w:top w:val="none" w:sz="0" w:space="0" w:color="auto"/>
        <w:left w:val="none" w:sz="0" w:space="0" w:color="auto"/>
        <w:bottom w:val="none" w:sz="0" w:space="0" w:color="auto"/>
        <w:right w:val="none" w:sz="0" w:space="0" w:color="auto"/>
      </w:divBdr>
    </w:div>
    <w:div w:id="390426272">
      <w:bodyDiv w:val="1"/>
      <w:marLeft w:val="0"/>
      <w:marRight w:val="0"/>
      <w:marTop w:val="0"/>
      <w:marBottom w:val="0"/>
      <w:divBdr>
        <w:top w:val="none" w:sz="0" w:space="0" w:color="auto"/>
        <w:left w:val="none" w:sz="0" w:space="0" w:color="auto"/>
        <w:bottom w:val="none" w:sz="0" w:space="0" w:color="auto"/>
        <w:right w:val="none" w:sz="0" w:space="0" w:color="auto"/>
      </w:divBdr>
    </w:div>
    <w:div w:id="433483394">
      <w:bodyDiv w:val="1"/>
      <w:marLeft w:val="0"/>
      <w:marRight w:val="0"/>
      <w:marTop w:val="0"/>
      <w:marBottom w:val="0"/>
      <w:divBdr>
        <w:top w:val="none" w:sz="0" w:space="0" w:color="auto"/>
        <w:left w:val="none" w:sz="0" w:space="0" w:color="auto"/>
        <w:bottom w:val="none" w:sz="0" w:space="0" w:color="auto"/>
        <w:right w:val="none" w:sz="0" w:space="0" w:color="auto"/>
      </w:divBdr>
    </w:div>
    <w:div w:id="446049222">
      <w:bodyDiv w:val="1"/>
      <w:marLeft w:val="0"/>
      <w:marRight w:val="0"/>
      <w:marTop w:val="0"/>
      <w:marBottom w:val="0"/>
      <w:divBdr>
        <w:top w:val="none" w:sz="0" w:space="0" w:color="auto"/>
        <w:left w:val="none" w:sz="0" w:space="0" w:color="auto"/>
        <w:bottom w:val="none" w:sz="0" w:space="0" w:color="auto"/>
        <w:right w:val="none" w:sz="0" w:space="0" w:color="auto"/>
      </w:divBdr>
    </w:div>
    <w:div w:id="489256857">
      <w:bodyDiv w:val="1"/>
      <w:marLeft w:val="0"/>
      <w:marRight w:val="0"/>
      <w:marTop w:val="0"/>
      <w:marBottom w:val="0"/>
      <w:divBdr>
        <w:top w:val="none" w:sz="0" w:space="0" w:color="auto"/>
        <w:left w:val="none" w:sz="0" w:space="0" w:color="auto"/>
        <w:bottom w:val="none" w:sz="0" w:space="0" w:color="auto"/>
        <w:right w:val="none" w:sz="0" w:space="0" w:color="auto"/>
      </w:divBdr>
    </w:div>
    <w:div w:id="583420291">
      <w:bodyDiv w:val="1"/>
      <w:marLeft w:val="0"/>
      <w:marRight w:val="0"/>
      <w:marTop w:val="0"/>
      <w:marBottom w:val="0"/>
      <w:divBdr>
        <w:top w:val="none" w:sz="0" w:space="0" w:color="auto"/>
        <w:left w:val="none" w:sz="0" w:space="0" w:color="auto"/>
        <w:bottom w:val="none" w:sz="0" w:space="0" w:color="auto"/>
        <w:right w:val="none" w:sz="0" w:space="0" w:color="auto"/>
      </w:divBdr>
      <w:divsChild>
        <w:div w:id="688987367">
          <w:marLeft w:val="0"/>
          <w:marRight w:val="0"/>
          <w:marTop w:val="0"/>
          <w:marBottom w:val="0"/>
          <w:divBdr>
            <w:top w:val="none" w:sz="0" w:space="0" w:color="auto"/>
            <w:left w:val="none" w:sz="0" w:space="0" w:color="auto"/>
            <w:bottom w:val="none" w:sz="0" w:space="0" w:color="auto"/>
            <w:right w:val="none" w:sz="0" w:space="0" w:color="auto"/>
          </w:divBdr>
        </w:div>
        <w:div w:id="930552722">
          <w:marLeft w:val="0"/>
          <w:marRight w:val="0"/>
          <w:marTop w:val="0"/>
          <w:marBottom w:val="0"/>
          <w:divBdr>
            <w:top w:val="none" w:sz="0" w:space="0" w:color="auto"/>
            <w:left w:val="none" w:sz="0" w:space="0" w:color="auto"/>
            <w:bottom w:val="none" w:sz="0" w:space="0" w:color="auto"/>
            <w:right w:val="none" w:sz="0" w:space="0" w:color="auto"/>
          </w:divBdr>
        </w:div>
        <w:div w:id="1339622294">
          <w:marLeft w:val="0"/>
          <w:marRight w:val="0"/>
          <w:marTop w:val="0"/>
          <w:marBottom w:val="0"/>
          <w:divBdr>
            <w:top w:val="none" w:sz="0" w:space="0" w:color="auto"/>
            <w:left w:val="none" w:sz="0" w:space="0" w:color="auto"/>
            <w:bottom w:val="none" w:sz="0" w:space="0" w:color="auto"/>
            <w:right w:val="none" w:sz="0" w:space="0" w:color="auto"/>
          </w:divBdr>
        </w:div>
        <w:div w:id="1371151007">
          <w:marLeft w:val="0"/>
          <w:marRight w:val="0"/>
          <w:marTop w:val="0"/>
          <w:marBottom w:val="0"/>
          <w:divBdr>
            <w:top w:val="none" w:sz="0" w:space="0" w:color="auto"/>
            <w:left w:val="none" w:sz="0" w:space="0" w:color="auto"/>
            <w:bottom w:val="none" w:sz="0" w:space="0" w:color="auto"/>
            <w:right w:val="none" w:sz="0" w:space="0" w:color="auto"/>
          </w:divBdr>
        </w:div>
        <w:div w:id="2027750074">
          <w:marLeft w:val="0"/>
          <w:marRight w:val="0"/>
          <w:marTop w:val="0"/>
          <w:marBottom w:val="0"/>
          <w:divBdr>
            <w:top w:val="none" w:sz="0" w:space="0" w:color="auto"/>
            <w:left w:val="none" w:sz="0" w:space="0" w:color="auto"/>
            <w:bottom w:val="none" w:sz="0" w:space="0" w:color="auto"/>
            <w:right w:val="none" w:sz="0" w:space="0" w:color="auto"/>
          </w:divBdr>
          <w:divsChild>
            <w:div w:id="22439529">
              <w:marLeft w:val="0"/>
              <w:marRight w:val="0"/>
              <w:marTop w:val="0"/>
              <w:marBottom w:val="0"/>
              <w:divBdr>
                <w:top w:val="none" w:sz="0" w:space="0" w:color="auto"/>
                <w:left w:val="none" w:sz="0" w:space="0" w:color="auto"/>
                <w:bottom w:val="none" w:sz="0" w:space="0" w:color="auto"/>
                <w:right w:val="none" w:sz="0" w:space="0" w:color="auto"/>
              </w:divBdr>
            </w:div>
            <w:div w:id="259218148">
              <w:marLeft w:val="0"/>
              <w:marRight w:val="0"/>
              <w:marTop w:val="0"/>
              <w:marBottom w:val="0"/>
              <w:divBdr>
                <w:top w:val="none" w:sz="0" w:space="0" w:color="auto"/>
                <w:left w:val="none" w:sz="0" w:space="0" w:color="auto"/>
                <w:bottom w:val="none" w:sz="0" w:space="0" w:color="auto"/>
                <w:right w:val="none" w:sz="0" w:space="0" w:color="auto"/>
              </w:divBdr>
            </w:div>
            <w:div w:id="623464541">
              <w:marLeft w:val="0"/>
              <w:marRight w:val="0"/>
              <w:marTop w:val="0"/>
              <w:marBottom w:val="0"/>
              <w:divBdr>
                <w:top w:val="none" w:sz="0" w:space="0" w:color="auto"/>
                <w:left w:val="none" w:sz="0" w:space="0" w:color="auto"/>
                <w:bottom w:val="none" w:sz="0" w:space="0" w:color="auto"/>
                <w:right w:val="none" w:sz="0" w:space="0" w:color="auto"/>
              </w:divBdr>
            </w:div>
            <w:div w:id="670642847">
              <w:marLeft w:val="0"/>
              <w:marRight w:val="0"/>
              <w:marTop w:val="0"/>
              <w:marBottom w:val="0"/>
              <w:divBdr>
                <w:top w:val="none" w:sz="0" w:space="0" w:color="auto"/>
                <w:left w:val="none" w:sz="0" w:space="0" w:color="auto"/>
                <w:bottom w:val="none" w:sz="0" w:space="0" w:color="auto"/>
                <w:right w:val="none" w:sz="0" w:space="0" w:color="auto"/>
              </w:divBdr>
            </w:div>
            <w:div w:id="1845851573">
              <w:marLeft w:val="0"/>
              <w:marRight w:val="0"/>
              <w:marTop w:val="0"/>
              <w:marBottom w:val="0"/>
              <w:divBdr>
                <w:top w:val="none" w:sz="0" w:space="0" w:color="auto"/>
                <w:left w:val="none" w:sz="0" w:space="0" w:color="auto"/>
                <w:bottom w:val="none" w:sz="0" w:space="0" w:color="auto"/>
                <w:right w:val="none" w:sz="0" w:space="0" w:color="auto"/>
              </w:divBdr>
            </w:div>
            <w:div w:id="192487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4431">
      <w:bodyDiv w:val="1"/>
      <w:marLeft w:val="0"/>
      <w:marRight w:val="0"/>
      <w:marTop w:val="0"/>
      <w:marBottom w:val="0"/>
      <w:divBdr>
        <w:top w:val="none" w:sz="0" w:space="0" w:color="auto"/>
        <w:left w:val="none" w:sz="0" w:space="0" w:color="auto"/>
        <w:bottom w:val="none" w:sz="0" w:space="0" w:color="auto"/>
        <w:right w:val="none" w:sz="0" w:space="0" w:color="auto"/>
      </w:divBdr>
      <w:divsChild>
        <w:div w:id="846869974">
          <w:marLeft w:val="0"/>
          <w:marRight w:val="0"/>
          <w:marTop w:val="0"/>
          <w:marBottom w:val="0"/>
          <w:divBdr>
            <w:top w:val="none" w:sz="0" w:space="0" w:color="auto"/>
            <w:left w:val="none" w:sz="0" w:space="0" w:color="auto"/>
            <w:bottom w:val="none" w:sz="0" w:space="0" w:color="auto"/>
            <w:right w:val="none" w:sz="0" w:space="0" w:color="auto"/>
          </w:divBdr>
        </w:div>
        <w:div w:id="1642225391">
          <w:marLeft w:val="0"/>
          <w:marRight w:val="0"/>
          <w:marTop w:val="0"/>
          <w:marBottom w:val="0"/>
          <w:divBdr>
            <w:top w:val="none" w:sz="0" w:space="0" w:color="auto"/>
            <w:left w:val="none" w:sz="0" w:space="0" w:color="auto"/>
            <w:bottom w:val="none" w:sz="0" w:space="0" w:color="auto"/>
            <w:right w:val="none" w:sz="0" w:space="0" w:color="auto"/>
          </w:divBdr>
        </w:div>
        <w:div w:id="1747416260">
          <w:marLeft w:val="0"/>
          <w:marRight w:val="0"/>
          <w:marTop w:val="0"/>
          <w:marBottom w:val="0"/>
          <w:divBdr>
            <w:top w:val="none" w:sz="0" w:space="0" w:color="auto"/>
            <w:left w:val="none" w:sz="0" w:space="0" w:color="auto"/>
            <w:bottom w:val="none" w:sz="0" w:space="0" w:color="auto"/>
            <w:right w:val="none" w:sz="0" w:space="0" w:color="auto"/>
          </w:divBdr>
        </w:div>
        <w:div w:id="2145846078">
          <w:marLeft w:val="0"/>
          <w:marRight w:val="0"/>
          <w:marTop w:val="0"/>
          <w:marBottom w:val="0"/>
          <w:divBdr>
            <w:top w:val="none" w:sz="0" w:space="0" w:color="auto"/>
            <w:left w:val="none" w:sz="0" w:space="0" w:color="auto"/>
            <w:bottom w:val="none" w:sz="0" w:space="0" w:color="auto"/>
            <w:right w:val="none" w:sz="0" w:space="0" w:color="auto"/>
          </w:divBdr>
        </w:div>
      </w:divsChild>
    </w:div>
    <w:div w:id="667559151">
      <w:bodyDiv w:val="1"/>
      <w:marLeft w:val="0"/>
      <w:marRight w:val="0"/>
      <w:marTop w:val="0"/>
      <w:marBottom w:val="0"/>
      <w:divBdr>
        <w:top w:val="none" w:sz="0" w:space="0" w:color="auto"/>
        <w:left w:val="none" w:sz="0" w:space="0" w:color="auto"/>
        <w:bottom w:val="none" w:sz="0" w:space="0" w:color="auto"/>
        <w:right w:val="none" w:sz="0" w:space="0" w:color="auto"/>
      </w:divBdr>
      <w:divsChild>
        <w:div w:id="156699473">
          <w:marLeft w:val="0"/>
          <w:marRight w:val="0"/>
          <w:marTop w:val="0"/>
          <w:marBottom w:val="0"/>
          <w:divBdr>
            <w:top w:val="none" w:sz="0" w:space="0" w:color="auto"/>
            <w:left w:val="none" w:sz="0" w:space="0" w:color="auto"/>
            <w:bottom w:val="none" w:sz="0" w:space="0" w:color="auto"/>
            <w:right w:val="none" w:sz="0" w:space="0" w:color="auto"/>
          </w:divBdr>
        </w:div>
        <w:div w:id="487674803">
          <w:marLeft w:val="0"/>
          <w:marRight w:val="0"/>
          <w:marTop w:val="0"/>
          <w:marBottom w:val="0"/>
          <w:divBdr>
            <w:top w:val="none" w:sz="0" w:space="0" w:color="auto"/>
            <w:left w:val="none" w:sz="0" w:space="0" w:color="auto"/>
            <w:bottom w:val="none" w:sz="0" w:space="0" w:color="auto"/>
            <w:right w:val="none" w:sz="0" w:space="0" w:color="auto"/>
          </w:divBdr>
        </w:div>
        <w:div w:id="928006815">
          <w:marLeft w:val="0"/>
          <w:marRight w:val="0"/>
          <w:marTop w:val="0"/>
          <w:marBottom w:val="0"/>
          <w:divBdr>
            <w:top w:val="none" w:sz="0" w:space="0" w:color="auto"/>
            <w:left w:val="none" w:sz="0" w:space="0" w:color="auto"/>
            <w:bottom w:val="none" w:sz="0" w:space="0" w:color="auto"/>
            <w:right w:val="none" w:sz="0" w:space="0" w:color="auto"/>
          </w:divBdr>
        </w:div>
        <w:div w:id="1108547737">
          <w:marLeft w:val="0"/>
          <w:marRight w:val="0"/>
          <w:marTop w:val="0"/>
          <w:marBottom w:val="0"/>
          <w:divBdr>
            <w:top w:val="none" w:sz="0" w:space="0" w:color="auto"/>
            <w:left w:val="none" w:sz="0" w:space="0" w:color="auto"/>
            <w:bottom w:val="none" w:sz="0" w:space="0" w:color="auto"/>
            <w:right w:val="none" w:sz="0" w:space="0" w:color="auto"/>
          </w:divBdr>
          <w:divsChild>
            <w:div w:id="487483762">
              <w:marLeft w:val="0"/>
              <w:marRight w:val="0"/>
              <w:marTop w:val="0"/>
              <w:marBottom w:val="0"/>
              <w:divBdr>
                <w:top w:val="none" w:sz="0" w:space="0" w:color="auto"/>
                <w:left w:val="none" w:sz="0" w:space="0" w:color="auto"/>
                <w:bottom w:val="none" w:sz="0" w:space="0" w:color="auto"/>
                <w:right w:val="none" w:sz="0" w:space="0" w:color="auto"/>
              </w:divBdr>
            </w:div>
            <w:div w:id="490101746">
              <w:marLeft w:val="0"/>
              <w:marRight w:val="0"/>
              <w:marTop w:val="0"/>
              <w:marBottom w:val="0"/>
              <w:divBdr>
                <w:top w:val="none" w:sz="0" w:space="0" w:color="auto"/>
                <w:left w:val="none" w:sz="0" w:space="0" w:color="auto"/>
                <w:bottom w:val="none" w:sz="0" w:space="0" w:color="auto"/>
                <w:right w:val="none" w:sz="0" w:space="0" w:color="auto"/>
              </w:divBdr>
            </w:div>
            <w:div w:id="720440386">
              <w:marLeft w:val="0"/>
              <w:marRight w:val="0"/>
              <w:marTop w:val="0"/>
              <w:marBottom w:val="0"/>
              <w:divBdr>
                <w:top w:val="none" w:sz="0" w:space="0" w:color="auto"/>
                <w:left w:val="none" w:sz="0" w:space="0" w:color="auto"/>
                <w:bottom w:val="none" w:sz="0" w:space="0" w:color="auto"/>
                <w:right w:val="none" w:sz="0" w:space="0" w:color="auto"/>
              </w:divBdr>
            </w:div>
            <w:div w:id="1293751041">
              <w:marLeft w:val="0"/>
              <w:marRight w:val="0"/>
              <w:marTop w:val="0"/>
              <w:marBottom w:val="0"/>
              <w:divBdr>
                <w:top w:val="none" w:sz="0" w:space="0" w:color="auto"/>
                <w:left w:val="none" w:sz="0" w:space="0" w:color="auto"/>
                <w:bottom w:val="none" w:sz="0" w:space="0" w:color="auto"/>
                <w:right w:val="none" w:sz="0" w:space="0" w:color="auto"/>
              </w:divBdr>
            </w:div>
            <w:div w:id="1543053339">
              <w:marLeft w:val="0"/>
              <w:marRight w:val="0"/>
              <w:marTop w:val="0"/>
              <w:marBottom w:val="0"/>
              <w:divBdr>
                <w:top w:val="none" w:sz="0" w:space="0" w:color="auto"/>
                <w:left w:val="none" w:sz="0" w:space="0" w:color="auto"/>
                <w:bottom w:val="none" w:sz="0" w:space="0" w:color="auto"/>
                <w:right w:val="none" w:sz="0" w:space="0" w:color="auto"/>
              </w:divBdr>
            </w:div>
            <w:div w:id="2102531241">
              <w:marLeft w:val="0"/>
              <w:marRight w:val="0"/>
              <w:marTop w:val="0"/>
              <w:marBottom w:val="0"/>
              <w:divBdr>
                <w:top w:val="none" w:sz="0" w:space="0" w:color="auto"/>
                <w:left w:val="none" w:sz="0" w:space="0" w:color="auto"/>
                <w:bottom w:val="none" w:sz="0" w:space="0" w:color="auto"/>
                <w:right w:val="none" w:sz="0" w:space="0" w:color="auto"/>
              </w:divBdr>
            </w:div>
          </w:divsChild>
        </w:div>
        <w:div w:id="1739785108">
          <w:marLeft w:val="0"/>
          <w:marRight w:val="0"/>
          <w:marTop w:val="0"/>
          <w:marBottom w:val="0"/>
          <w:divBdr>
            <w:top w:val="none" w:sz="0" w:space="0" w:color="auto"/>
            <w:left w:val="none" w:sz="0" w:space="0" w:color="auto"/>
            <w:bottom w:val="none" w:sz="0" w:space="0" w:color="auto"/>
            <w:right w:val="none" w:sz="0" w:space="0" w:color="auto"/>
          </w:divBdr>
        </w:div>
      </w:divsChild>
    </w:div>
    <w:div w:id="679089707">
      <w:bodyDiv w:val="1"/>
      <w:marLeft w:val="0"/>
      <w:marRight w:val="0"/>
      <w:marTop w:val="0"/>
      <w:marBottom w:val="0"/>
      <w:divBdr>
        <w:top w:val="none" w:sz="0" w:space="0" w:color="auto"/>
        <w:left w:val="none" w:sz="0" w:space="0" w:color="auto"/>
        <w:bottom w:val="none" w:sz="0" w:space="0" w:color="auto"/>
        <w:right w:val="none" w:sz="0" w:space="0" w:color="auto"/>
      </w:divBdr>
      <w:divsChild>
        <w:div w:id="302926364">
          <w:marLeft w:val="547"/>
          <w:marRight w:val="0"/>
          <w:marTop w:val="0"/>
          <w:marBottom w:val="0"/>
          <w:divBdr>
            <w:top w:val="none" w:sz="0" w:space="0" w:color="auto"/>
            <w:left w:val="none" w:sz="0" w:space="0" w:color="auto"/>
            <w:bottom w:val="none" w:sz="0" w:space="0" w:color="auto"/>
            <w:right w:val="none" w:sz="0" w:space="0" w:color="auto"/>
          </w:divBdr>
        </w:div>
      </w:divsChild>
    </w:div>
    <w:div w:id="718633348">
      <w:bodyDiv w:val="1"/>
      <w:marLeft w:val="0"/>
      <w:marRight w:val="0"/>
      <w:marTop w:val="0"/>
      <w:marBottom w:val="0"/>
      <w:divBdr>
        <w:top w:val="none" w:sz="0" w:space="0" w:color="auto"/>
        <w:left w:val="none" w:sz="0" w:space="0" w:color="auto"/>
        <w:bottom w:val="none" w:sz="0" w:space="0" w:color="auto"/>
        <w:right w:val="none" w:sz="0" w:space="0" w:color="auto"/>
      </w:divBdr>
    </w:div>
    <w:div w:id="741175953">
      <w:bodyDiv w:val="1"/>
      <w:marLeft w:val="0"/>
      <w:marRight w:val="0"/>
      <w:marTop w:val="0"/>
      <w:marBottom w:val="0"/>
      <w:divBdr>
        <w:top w:val="none" w:sz="0" w:space="0" w:color="auto"/>
        <w:left w:val="none" w:sz="0" w:space="0" w:color="auto"/>
        <w:bottom w:val="none" w:sz="0" w:space="0" w:color="auto"/>
        <w:right w:val="none" w:sz="0" w:space="0" w:color="auto"/>
      </w:divBdr>
      <w:divsChild>
        <w:div w:id="861481644">
          <w:marLeft w:val="547"/>
          <w:marRight w:val="0"/>
          <w:marTop w:val="0"/>
          <w:marBottom w:val="0"/>
          <w:divBdr>
            <w:top w:val="none" w:sz="0" w:space="0" w:color="auto"/>
            <w:left w:val="none" w:sz="0" w:space="0" w:color="auto"/>
            <w:bottom w:val="none" w:sz="0" w:space="0" w:color="auto"/>
            <w:right w:val="none" w:sz="0" w:space="0" w:color="auto"/>
          </w:divBdr>
        </w:div>
      </w:divsChild>
    </w:div>
    <w:div w:id="762071092">
      <w:bodyDiv w:val="1"/>
      <w:marLeft w:val="0"/>
      <w:marRight w:val="0"/>
      <w:marTop w:val="0"/>
      <w:marBottom w:val="0"/>
      <w:divBdr>
        <w:top w:val="none" w:sz="0" w:space="0" w:color="auto"/>
        <w:left w:val="none" w:sz="0" w:space="0" w:color="auto"/>
        <w:bottom w:val="none" w:sz="0" w:space="0" w:color="auto"/>
        <w:right w:val="none" w:sz="0" w:space="0" w:color="auto"/>
      </w:divBdr>
      <w:divsChild>
        <w:div w:id="738864284">
          <w:marLeft w:val="0"/>
          <w:marRight w:val="0"/>
          <w:marTop w:val="0"/>
          <w:marBottom w:val="0"/>
          <w:divBdr>
            <w:top w:val="none" w:sz="0" w:space="0" w:color="auto"/>
            <w:left w:val="none" w:sz="0" w:space="0" w:color="auto"/>
            <w:bottom w:val="none" w:sz="0" w:space="0" w:color="auto"/>
            <w:right w:val="none" w:sz="0" w:space="0" w:color="auto"/>
          </w:divBdr>
        </w:div>
        <w:div w:id="1312052781">
          <w:marLeft w:val="0"/>
          <w:marRight w:val="0"/>
          <w:marTop w:val="0"/>
          <w:marBottom w:val="0"/>
          <w:divBdr>
            <w:top w:val="none" w:sz="0" w:space="0" w:color="auto"/>
            <w:left w:val="none" w:sz="0" w:space="0" w:color="auto"/>
            <w:bottom w:val="none" w:sz="0" w:space="0" w:color="auto"/>
            <w:right w:val="none" w:sz="0" w:space="0" w:color="auto"/>
          </w:divBdr>
        </w:div>
        <w:div w:id="1559627534">
          <w:marLeft w:val="0"/>
          <w:marRight w:val="0"/>
          <w:marTop w:val="0"/>
          <w:marBottom w:val="0"/>
          <w:divBdr>
            <w:top w:val="none" w:sz="0" w:space="0" w:color="auto"/>
            <w:left w:val="none" w:sz="0" w:space="0" w:color="auto"/>
            <w:bottom w:val="none" w:sz="0" w:space="0" w:color="auto"/>
            <w:right w:val="none" w:sz="0" w:space="0" w:color="auto"/>
          </w:divBdr>
        </w:div>
        <w:div w:id="2100251829">
          <w:marLeft w:val="0"/>
          <w:marRight w:val="0"/>
          <w:marTop w:val="0"/>
          <w:marBottom w:val="0"/>
          <w:divBdr>
            <w:top w:val="none" w:sz="0" w:space="0" w:color="auto"/>
            <w:left w:val="none" w:sz="0" w:space="0" w:color="auto"/>
            <w:bottom w:val="none" w:sz="0" w:space="0" w:color="auto"/>
            <w:right w:val="none" w:sz="0" w:space="0" w:color="auto"/>
          </w:divBdr>
        </w:div>
      </w:divsChild>
    </w:div>
    <w:div w:id="786126211">
      <w:bodyDiv w:val="1"/>
      <w:marLeft w:val="0"/>
      <w:marRight w:val="0"/>
      <w:marTop w:val="0"/>
      <w:marBottom w:val="0"/>
      <w:divBdr>
        <w:top w:val="none" w:sz="0" w:space="0" w:color="auto"/>
        <w:left w:val="none" w:sz="0" w:space="0" w:color="auto"/>
        <w:bottom w:val="none" w:sz="0" w:space="0" w:color="auto"/>
        <w:right w:val="none" w:sz="0" w:space="0" w:color="auto"/>
      </w:divBdr>
    </w:div>
    <w:div w:id="898982908">
      <w:bodyDiv w:val="1"/>
      <w:marLeft w:val="0"/>
      <w:marRight w:val="0"/>
      <w:marTop w:val="0"/>
      <w:marBottom w:val="0"/>
      <w:divBdr>
        <w:top w:val="none" w:sz="0" w:space="0" w:color="auto"/>
        <w:left w:val="none" w:sz="0" w:space="0" w:color="auto"/>
        <w:bottom w:val="none" w:sz="0" w:space="0" w:color="auto"/>
        <w:right w:val="none" w:sz="0" w:space="0" w:color="auto"/>
      </w:divBdr>
    </w:div>
    <w:div w:id="1033461266">
      <w:bodyDiv w:val="1"/>
      <w:marLeft w:val="0"/>
      <w:marRight w:val="0"/>
      <w:marTop w:val="0"/>
      <w:marBottom w:val="0"/>
      <w:divBdr>
        <w:top w:val="none" w:sz="0" w:space="0" w:color="auto"/>
        <w:left w:val="none" w:sz="0" w:space="0" w:color="auto"/>
        <w:bottom w:val="none" w:sz="0" w:space="0" w:color="auto"/>
        <w:right w:val="none" w:sz="0" w:space="0" w:color="auto"/>
      </w:divBdr>
      <w:divsChild>
        <w:div w:id="7560584">
          <w:marLeft w:val="547"/>
          <w:marRight w:val="0"/>
          <w:marTop w:val="0"/>
          <w:marBottom w:val="0"/>
          <w:divBdr>
            <w:top w:val="none" w:sz="0" w:space="0" w:color="auto"/>
            <w:left w:val="none" w:sz="0" w:space="0" w:color="auto"/>
            <w:bottom w:val="none" w:sz="0" w:space="0" w:color="auto"/>
            <w:right w:val="none" w:sz="0" w:space="0" w:color="auto"/>
          </w:divBdr>
        </w:div>
      </w:divsChild>
    </w:div>
    <w:div w:id="1065448575">
      <w:bodyDiv w:val="1"/>
      <w:marLeft w:val="0"/>
      <w:marRight w:val="0"/>
      <w:marTop w:val="0"/>
      <w:marBottom w:val="0"/>
      <w:divBdr>
        <w:top w:val="none" w:sz="0" w:space="0" w:color="auto"/>
        <w:left w:val="none" w:sz="0" w:space="0" w:color="auto"/>
        <w:bottom w:val="none" w:sz="0" w:space="0" w:color="auto"/>
        <w:right w:val="none" w:sz="0" w:space="0" w:color="auto"/>
      </w:divBdr>
    </w:div>
    <w:div w:id="1090349588">
      <w:bodyDiv w:val="1"/>
      <w:marLeft w:val="0"/>
      <w:marRight w:val="0"/>
      <w:marTop w:val="0"/>
      <w:marBottom w:val="0"/>
      <w:divBdr>
        <w:top w:val="none" w:sz="0" w:space="0" w:color="auto"/>
        <w:left w:val="none" w:sz="0" w:space="0" w:color="auto"/>
        <w:bottom w:val="none" w:sz="0" w:space="0" w:color="auto"/>
        <w:right w:val="none" w:sz="0" w:space="0" w:color="auto"/>
      </w:divBdr>
    </w:div>
    <w:div w:id="1299190774">
      <w:bodyDiv w:val="1"/>
      <w:marLeft w:val="0"/>
      <w:marRight w:val="0"/>
      <w:marTop w:val="0"/>
      <w:marBottom w:val="0"/>
      <w:divBdr>
        <w:top w:val="none" w:sz="0" w:space="0" w:color="auto"/>
        <w:left w:val="none" w:sz="0" w:space="0" w:color="auto"/>
        <w:bottom w:val="none" w:sz="0" w:space="0" w:color="auto"/>
        <w:right w:val="none" w:sz="0" w:space="0" w:color="auto"/>
      </w:divBdr>
      <w:divsChild>
        <w:div w:id="2138453121">
          <w:marLeft w:val="547"/>
          <w:marRight w:val="0"/>
          <w:marTop w:val="0"/>
          <w:marBottom w:val="0"/>
          <w:divBdr>
            <w:top w:val="none" w:sz="0" w:space="0" w:color="auto"/>
            <w:left w:val="none" w:sz="0" w:space="0" w:color="auto"/>
            <w:bottom w:val="none" w:sz="0" w:space="0" w:color="auto"/>
            <w:right w:val="none" w:sz="0" w:space="0" w:color="auto"/>
          </w:divBdr>
        </w:div>
      </w:divsChild>
    </w:div>
    <w:div w:id="1376272667">
      <w:bodyDiv w:val="1"/>
      <w:marLeft w:val="0"/>
      <w:marRight w:val="0"/>
      <w:marTop w:val="0"/>
      <w:marBottom w:val="0"/>
      <w:divBdr>
        <w:top w:val="none" w:sz="0" w:space="0" w:color="auto"/>
        <w:left w:val="none" w:sz="0" w:space="0" w:color="auto"/>
        <w:bottom w:val="none" w:sz="0" w:space="0" w:color="auto"/>
        <w:right w:val="none" w:sz="0" w:space="0" w:color="auto"/>
      </w:divBdr>
    </w:div>
    <w:div w:id="1465923759">
      <w:bodyDiv w:val="1"/>
      <w:marLeft w:val="0"/>
      <w:marRight w:val="0"/>
      <w:marTop w:val="0"/>
      <w:marBottom w:val="0"/>
      <w:divBdr>
        <w:top w:val="none" w:sz="0" w:space="0" w:color="auto"/>
        <w:left w:val="none" w:sz="0" w:space="0" w:color="auto"/>
        <w:bottom w:val="none" w:sz="0" w:space="0" w:color="auto"/>
        <w:right w:val="none" w:sz="0" w:space="0" w:color="auto"/>
      </w:divBdr>
      <w:divsChild>
        <w:div w:id="349845200">
          <w:marLeft w:val="547"/>
          <w:marRight w:val="0"/>
          <w:marTop w:val="0"/>
          <w:marBottom w:val="0"/>
          <w:divBdr>
            <w:top w:val="none" w:sz="0" w:space="0" w:color="auto"/>
            <w:left w:val="none" w:sz="0" w:space="0" w:color="auto"/>
            <w:bottom w:val="none" w:sz="0" w:space="0" w:color="auto"/>
            <w:right w:val="none" w:sz="0" w:space="0" w:color="auto"/>
          </w:divBdr>
        </w:div>
      </w:divsChild>
    </w:div>
    <w:div w:id="1468276383">
      <w:bodyDiv w:val="1"/>
      <w:marLeft w:val="0"/>
      <w:marRight w:val="0"/>
      <w:marTop w:val="0"/>
      <w:marBottom w:val="0"/>
      <w:divBdr>
        <w:top w:val="none" w:sz="0" w:space="0" w:color="auto"/>
        <w:left w:val="none" w:sz="0" w:space="0" w:color="auto"/>
        <w:bottom w:val="none" w:sz="0" w:space="0" w:color="auto"/>
        <w:right w:val="none" w:sz="0" w:space="0" w:color="auto"/>
      </w:divBdr>
      <w:divsChild>
        <w:div w:id="225190118">
          <w:marLeft w:val="0"/>
          <w:marRight w:val="0"/>
          <w:marTop w:val="0"/>
          <w:marBottom w:val="0"/>
          <w:divBdr>
            <w:top w:val="none" w:sz="0" w:space="0" w:color="auto"/>
            <w:left w:val="none" w:sz="0" w:space="0" w:color="auto"/>
            <w:bottom w:val="none" w:sz="0" w:space="0" w:color="auto"/>
            <w:right w:val="none" w:sz="0" w:space="0" w:color="auto"/>
          </w:divBdr>
        </w:div>
        <w:div w:id="534735234">
          <w:marLeft w:val="0"/>
          <w:marRight w:val="0"/>
          <w:marTop w:val="0"/>
          <w:marBottom w:val="0"/>
          <w:divBdr>
            <w:top w:val="none" w:sz="0" w:space="0" w:color="auto"/>
            <w:left w:val="none" w:sz="0" w:space="0" w:color="auto"/>
            <w:bottom w:val="none" w:sz="0" w:space="0" w:color="auto"/>
            <w:right w:val="none" w:sz="0" w:space="0" w:color="auto"/>
          </w:divBdr>
        </w:div>
        <w:div w:id="742415968">
          <w:marLeft w:val="0"/>
          <w:marRight w:val="0"/>
          <w:marTop w:val="0"/>
          <w:marBottom w:val="0"/>
          <w:divBdr>
            <w:top w:val="none" w:sz="0" w:space="0" w:color="auto"/>
            <w:left w:val="none" w:sz="0" w:space="0" w:color="auto"/>
            <w:bottom w:val="none" w:sz="0" w:space="0" w:color="auto"/>
            <w:right w:val="none" w:sz="0" w:space="0" w:color="auto"/>
          </w:divBdr>
        </w:div>
      </w:divsChild>
    </w:div>
    <w:div w:id="1526090355">
      <w:bodyDiv w:val="1"/>
      <w:marLeft w:val="0"/>
      <w:marRight w:val="0"/>
      <w:marTop w:val="0"/>
      <w:marBottom w:val="0"/>
      <w:divBdr>
        <w:top w:val="none" w:sz="0" w:space="0" w:color="auto"/>
        <w:left w:val="none" w:sz="0" w:space="0" w:color="auto"/>
        <w:bottom w:val="none" w:sz="0" w:space="0" w:color="auto"/>
        <w:right w:val="none" w:sz="0" w:space="0" w:color="auto"/>
      </w:divBdr>
      <w:divsChild>
        <w:div w:id="1373769518">
          <w:marLeft w:val="0"/>
          <w:marRight w:val="0"/>
          <w:marTop w:val="0"/>
          <w:marBottom w:val="0"/>
          <w:divBdr>
            <w:top w:val="none" w:sz="0" w:space="0" w:color="auto"/>
            <w:left w:val="none" w:sz="0" w:space="0" w:color="auto"/>
            <w:bottom w:val="none" w:sz="0" w:space="0" w:color="auto"/>
            <w:right w:val="none" w:sz="0" w:space="0" w:color="auto"/>
          </w:divBdr>
        </w:div>
        <w:div w:id="1437795691">
          <w:marLeft w:val="0"/>
          <w:marRight w:val="0"/>
          <w:marTop w:val="0"/>
          <w:marBottom w:val="0"/>
          <w:divBdr>
            <w:top w:val="none" w:sz="0" w:space="0" w:color="auto"/>
            <w:left w:val="none" w:sz="0" w:space="0" w:color="auto"/>
            <w:bottom w:val="none" w:sz="0" w:space="0" w:color="auto"/>
            <w:right w:val="none" w:sz="0" w:space="0" w:color="auto"/>
          </w:divBdr>
        </w:div>
        <w:div w:id="1999841825">
          <w:marLeft w:val="0"/>
          <w:marRight w:val="0"/>
          <w:marTop w:val="0"/>
          <w:marBottom w:val="0"/>
          <w:divBdr>
            <w:top w:val="none" w:sz="0" w:space="0" w:color="auto"/>
            <w:left w:val="none" w:sz="0" w:space="0" w:color="auto"/>
            <w:bottom w:val="none" w:sz="0" w:space="0" w:color="auto"/>
            <w:right w:val="none" w:sz="0" w:space="0" w:color="auto"/>
          </w:divBdr>
        </w:div>
      </w:divsChild>
    </w:div>
    <w:div w:id="1565411143">
      <w:bodyDiv w:val="1"/>
      <w:marLeft w:val="0"/>
      <w:marRight w:val="0"/>
      <w:marTop w:val="0"/>
      <w:marBottom w:val="0"/>
      <w:divBdr>
        <w:top w:val="none" w:sz="0" w:space="0" w:color="auto"/>
        <w:left w:val="none" w:sz="0" w:space="0" w:color="auto"/>
        <w:bottom w:val="none" w:sz="0" w:space="0" w:color="auto"/>
        <w:right w:val="none" w:sz="0" w:space="0" w:color="auto"/>
      </w:divBdr>
    </w:div>
    <w:div w:id="1654068505">
      <w:bodyDiv w:val="1"/>
      <w:marLeft w:val="0"/>
      <w:marRight w:val="0"/>
      <w:marTop w:val="0"/>
      <w:marBottom w:val="0"/>
      <w:divBdr>
        <w:top w:val="none" w:sz="0" w:space="0" w:color="auto"/>
        <w:left w:val="none" w:sz="0" w:space="0" w:color="auto"/>
        <w:bottom w:val="none" w:sz="0" w:space="0" w:color="auto"/>
        <w:right w:val="none" w:sz="0" w:space="0" w:color="auto"/>
      </w:divBdr>
    </w:div>
    <w:div w:id="1671568423">
      <w:bodyDiv w:val="1"/>
      <w:marLeft w:val="0"/>
      <w:marRight w:val="0"/>
      <w:marTop w:val="0"/>
      <w:marBottom w:val="0"/>
      <w:divBdr>
        <w:top w:val="none" w:sz="0" w:space="0" w:color="auto"/>
        <w:left w:val="none" w:sz="0" w:space="0" w:color="auto"/>
        <w:bottom w:val="none" w:sz="0" w:space="0" w:color="auto"/>
        <w:right w:val="none" w:sz="0" w:space="0" w:color="auto"/>
      </w:divBdr>
    </w:div>
    <w:div w:id="1769959219">
      <w:bodyDiv w:val="1"/>
      <w:marLeft w:val="0"/>
      <w:marRight w:val="0"/>
      <w:marTop w:val="0"/>
      <w:marBottom w:val="0"/>
      <w:divBdr>
        <w:top w:val="none" w:sz="0" w:space="0" w:color="auto"/>
        <w:left w:val="none" w:sz="0" w:space="0" w:color="auto"/>
        <w:bottom w:val="none" w:sz="0" w:space="0" w:color="auto"/>
        <w:right w:val="none" w:sz="0" w:space="0" w:color="auto"/>
      </w:divBdr>
    </w:div>
    <w:div w:id="1984579465">
      <w:bodyDiv w:val="1"/>
      <w:marLeft w:val="0"/>
      <w:marRight w:val="0"/>
      <w:marTop w:val="0"/>
      <w:marBottom w:val="0"/>
      <w:divBdr>
        <w:top w:val="none" w:sz="0" w:space="0" w:color="auto"/>
        <w:left w:val="none" w:sz="0" w:space="0" w:color="auto"/>
        <w:bottom w:val="none" w:sz="0" w:space="0" w:color="auto"/>
        <w:right w:val="none" w:sz="0" w:space="0" w:color="auto"/>
      </w:divBdr>
    </w:div>
    <w:div w:id="2012678635">
      <w:bodyDiv w:val="1"/>
      <w:marLeft w:val="0"/>
      <w:marRight w:val="0"/>
      <w:marTop w:val="0"/>
      <w:marBottom w:val="0"/>
      <w:divBdr>
        <w:top w:val="none" w:sz="0" w:space="0" w:color="auto"/>
        <w:left w:val="none" w:sz="0" w:space="0" w:color="auto"/>
        <w:bottom w:val="none" w:sz="0" w:space="0" w:color="auto"/>
        <w:right w:val="none" w:sz="0" w:space="0" w:color="auto"/>
      </w:divBdr>
    </w:div>
    <w:div w:id="2040543614">
      <w:bodyDiv w:val="1"/>
      <w:marLeft w:val="0"/>
      <w:marRight w:val="0"/>
      <w:marTop w:val="0"/>
      <w:marBottom w:val="0"/>
      <w:divBdr>
        <w:top w:val="none" w:sz="0" w:space="0" w:color="auto"/>
        <w:left w:val="none" w:sz="0" w:space="0" w:color="auto"/>
        <w:bottom w:val="none" w:sz="0" w:space="0" w:color="auto"/>
        <w:right w:val="none" w:sz="0" w:space="0" w:color="auto"/>
      </w:divBdr>
      <w:divsChild>
        <w:div w:id="411974777">
          <w:marLeft w:val="547"/>
          <w:marRight w:val="0"/>
          <w:marTop w:val="0"/>
          <w:marBottom w:val="0"/>
          <w:divBdr>
            <w:top w:val="none" w:sz="0" w:space="0" w:color="auto"/>
            <w:left w:val="none" w:sz="0" w:space="0" w:color="auto"/>
            <w:bottom w:val="none" w:sz="0" w:space="0" w:color="auto"/>
            <w:right w:val="none" w:sz="0" w:space="0" w:color="auto"/>
          </w:divBdr>
        </w:div>
      </w:divsChild>
    </w:div>
    <w:div w:id="2093816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rvicioalciudadano@dnp.gov.co" TargetMode="External"/><Relationship Id="rId18" Type="http://schemas.openxmlformats.org/officeDocument/2006/relationships/hyperlink" Target="mailto:servicioalciudadano@minambiente.gov.c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lejandro.cardona.valencia@epm.com.co" TargetMode="External"/><Relationship Id="rId17" Type="http://schemas.openxmlformats.org/officeDocument/2006/relationships/hyperlink" Target="mailto:info@minambiente.gov.co" TargetMode="External"/><Relationship Id="rId2" Type="http://schemas.openxmlformats.org/officeDocument/2006/relationships/customXml" Target="../customXml/item2.xml"/><Relationship Id="rId16" Type="http://schemas.openxmlformats.org/officeDocument/2006/relationships/hyperlink" Target="mailto:aalmario@superservicios.gov.c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m@epm.com.co" TargetMode="External"/><Relationship Id="rId5" Type="http://schemas.openxmlformats.org/officeDocument/2006/relationships/numbering" Target="numbering.xml"/><Relationship Id="rId15" Type="http://schemas.openxmlformats.org/officeDocument/2006/relationships/hyperlink" Target="mailto:sspd@superservicios.gov.co"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otificacionesjudiciales@dnp.gov.co"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c3cce-6c31-4f1f-b54e-e7c442e692b0" xsi:nil="true"/>
    <lcf76f155ced4ddcb4097134ff3c332f xmlns="0c3ff982-b687-4eb5-9a04-fd6efaf5d5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B6E0F052F7D8D049BB205D4AAC80D1CC" ma:contentTypeVersion="18" ma:contentTypeDescription="Crear nuevo documento." ma:contentTypeScope="" ma:versionID="a48740ecdc503a6a80debe7be60a92a3">
  <xsd:schema xmlns:xsd="http://www.w3.org/2001/XMLSchema" xmlns:xs="http://www.w3.org/2001/XMLSchema" xmlns:p="http://schemas.microsoft.com/office/2006/metadata/properties" xmlns:ns2="0c3ff982-b687-4eb5-9a04-fd6efaf5d504" xmlns:ns3="ae0c3cce-6c31-4f1f-b54e-e7c442e692b0" targetNamespace="http://schemas.microsoft.com/office/2006/metadata/properties" ma:root="true" ma:fieldsID="c7560ae8be71a752f282334a663107ae" ns2:_="" ns3:_="">
    <xsd:import namespace="0c3ff982-b687-4eb5-9a04-fd6efaf5d504"/>
    <xsd:import namespace="ae0c3cce-6c31-4f1f-b54e-e7c442e692b0"/>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ff982-b687-4eb5-9a04-fd6efaf5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3912e655-385c-46bd-b52b-7c1134c9353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0c3cce-6c31-4f1f-b54e-e7c442e692b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963f1d6-81ba-41f1-a10f-a01c4f40578d}" ma:internalName="TaxCatchAll" ma:showField="CatchAllData" ma:web="ae0c3cce-6c31-4f1f-b54e-e7c442e692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7DEB4-3934-4B03-9D04-0AFCA7D2D3BE}">
  <ds:schemaRefs>
    <ds:schemaRef ds:uri="http://schemas.microsoft.com/office/2006/metadata/properties"/>
    <ds:schemaRef ds:uri="http://schemas.microsoft.com/office/infopath/2007/PartnerControls"/>
    <ds:schemaRef ds:uri="ae0c3cce-6c31-4f1f-b54e-e7c442e692b0"/>
    <ds:schemaRef ds:uri="0c3ff982-b687-4eb5-9a04-fd6efaf5d504"/>
  </ds:schemaRefs>
</ds:datastoreItem>
</file>

<file path=customXml/itemProps2.xml><?xml version="1.0" encoding="utf-8"?>
<ds:datastoreItem xmlns:ds="http://schemas.openxmlformats.org/officeDocument/2006/customXml" ds:itemID="{BE3E9932-0592-4BD1-A80E-D4F03185C995}">
  <ds:schemaRefs>
    <ds:schemaRef ds:uri="http://schemas.microsoft.com/sharepoint/v3/contenttype/forms"/>
  </ds:schemaRefs>
</ds:datastoreItem>
</file>

<file path=customXml/itemProps3.xml><?xml version="1.0" encoding="utf-8"?>
<ds:datastoreItem xmlns:ds="http://schemas.openxmlformats.org/officeDocument/2006/customXml" ds:itemID="{70F3FA1E-4EFD-44EF-A43F-E8CEEC848241}">
  <ds:schemaRefs>
    <ds:schemaRef ds:uri="http://schemas.openxmlformats.org/officeDocument/2006/bibliography"/>
  </ds:schemaRefs>
</ds:datastoreItem>
</file>

<file path=customXml/itemProps4.xml><?xml version="1.0" encoding="utf-8"?>
<ds:datastoreItem xmlns:ds="http://schemas.openxmlformats.org/officeDocument/2006/customXml" ds:itemID="{283E00FB-6AAB-476E-81F3-44AE8405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ff982-b687-4eb5-9a04-fd6efaf5d504"/>
    <ds:schemaRef ds:uri="ae0c3cce-6c31-4f1f-b54e-e7c442e692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f25ac5d-820e-433e-8460-6c0c6dd4e7e8}" enabled="0" method="" siteId="{0f25ac5d-820e-433e-8460-6c0c6dd4e7e8}" removed="1"/>
</clbl:labelList>
</file>

<file path=docProps/app.xml><?xml version="1.0" encoding="utf-8"?>
<Properties xmlns="http://schemas.openxmlformats.org/officeDocument/2006/extended-properties" xmlns:vt="http://schemas.openxmlformats.org/officeDocument/2006/docPropsVTypes">
  <Template>Normal</Template>
  <TotalTime>147</TotalTime>
  <Pages>25</Pages>
  <Words>8606</Words>
  <Characters>47338</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Bogotá, D</vt:lpstr>
    </vt:vector>
  </TitlesOfParts>
  <Company/>
  <LinksUpToDate>false</LinksUpToDate>
  <CharactersWithSpaces>55833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subject/>
  <dc:creator>Preferred Customer</dc:creator>
  <cp:keywords/>
  <dc:description/>
  <cp:lastModifiedBy>Dalix Yesblaidy Gutierrez Fuentes</cp:lastModifiedBy>
  <cp:revision>37</cp:revision>
  <cp:lastPrinted>2013-02-22T16:19:00Z</cp:lastPrinted>
  <dcterms:created xsi:type="dcterms:W3CDTF">2026-07-16T14:06:00Z</dcterms:created>
  <dcterms:modified xsi:type="dcterms:W3CDTF">2026-07-16T16:31:00Z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0x010100B6E0F052F7D8D049BB205D4AAC80D1CC</vt:lpwstr>
  </property>
  <property fmtid="{D5CDD505-2E9C-101B-9397-08002B2CF9AE}" pid="3" name="Order">
    <vt:r8>86600</vt:r8>
  </property>
  <property fmtid="{D5CDD505-2E9C-101B-9397-08002B2CF9AE}" pid="4" name="MediaServiceImageTags">
    <vt:lpwstr/>
  </property>
</Properties>
</file>